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58BD6" w14:textId="77777777" w:rsidR="00176F05" w:rsidRDefault="0097394D">
      <w:pPr>
        <w:spacing w:before="960" w:after="280"/>
        <w:jc w:val="center"/>
      </w:pPr>
      <w:r>
        <w:rPr>
          <w:rFonts w:eastAsia="Calibri"/>
          <w:b/>
          <w:caps/>
          <w:color w:val="C69214"/>
          <w:sz w:val="20"/>
        </w:rPr>
        <w:t>IMPACT REPORT 2026</w:t>
      </w:r>
    </w:p>
    <w:p w14:paraId="3E0270A7" w14:textId="77777777" w:rsidR="00176F05" w:rsidRDefault="0097394D">
      <w:pPr>
        <w:spacing w:after="200"/>
        <w:jc w:val="center"/>
      </w:pPr>
      <w:r>
        <w:rPr>
          <w:rFonts w:eastAsia="Calibri"/>
          <w:b/>
          <w:caps/>
          <w:color w:val="17365D"/>
          <w:sz w:val="62"/>
        </w:rPr>
        <w:t>THE IMPACT OF</w:t>
      </w:r>
      <w:r>
        <w:rPr>
          <w:rFonts w:eastAsia="Calibri"/>
          <w:b/>
          <w:caps/>
          <w:color w:val="17365D"/>
          <w:sz w:val="62"/>
        </w:rPr>
        <w:br/>
        <w:t>BRIGHT MINDS</w:t>
      </w:r>
    </w:p>
    <w:p w14:paraId="7EA87D52" w14:textId="77777777" w:rsidR="00176F05" w:rsidRDefault="0097394D">
      <w:pPr>
        <w:spacing w:after="360" w:line="269" w:lineRule="auto"/>
        <w:jc w:val="center"/>
      </w:pPr>
      <w:r>
        <w:rPr>
          <w:rFonts w:eastAsia="Calibri"/>
          <w:color w:val="1F4D78"/>
          <w:sz w:val="30"/>
        </w:rPr>
        <w:t>A Decade of Youth Development, Workforce Preparation,</w:t>
      </w:r>
      <w:r>
        <w:rPr>
          <w:rFonts w:eastAsia="Calibri"/>
          <w:color w:val="1F4D78"/>
          <w:sz w:val="30"/>
        </w:rPr>
        <w:br/>
        <w:t>and Pathways to Economic Mobility</w:t>
      </w:r>
    </w:p>
    <w:p w14:paraId="20DCBE02" w14:textId="77777777" w:rsidR="00176F05" w:rsidRDefault="0097394D">
      <w:pPr>
        <w:spacing w:after="240"/>
        <w:jc w:val="center"/>
      </w:pPr>
      <w:r>
        <w:rPr>
          <w:rFonts w:eastAsia="Calibri"/>
          <w:b/>
          <w:caps/>
          <w:color w:val="2E74B5"/>
          <w:sz w:val="18"/>
        </w:rPr>
        <w:t>THE DOCUMENTED FOUNDATION FOR THE PLANNED INSTITUTE OF BRIGHT MINDS</w:t>
      </w:r>
    </w:p>
    <w:p w14:paraId="4F721915" w14:textId="77777777" w:rsidR="00176F05" w:rsidRDefault="00176F05">
      <w:pPr>
        <w:pBdr>
          <w:bottom w:val="single" w:sz="10" w:space="0" w:color="C69214"/>
        </w:pBdr>
        <w:spacing w:after="320"/>
        <w:ind w:left="1656" w:right="1656"/>
      </w:pPr>
    </w:p>
    <w:p w14:paraId="673929F8" w14:textId="77777777" w:rsidR="00176F05" w:rsidRDefault="0097394D">
      <w:pPr>
        <w:spacing w:after="560"/>
        <w:jc w:val="center"/>
      </w:pPr>
      <w:r>
        <w:rPr>
          <w:rFonts w:eastAsia="Calibri"/>
          <w:b/>
          <w:color w:val="617180"/>
          <w:sz w:val="23"/>
        </w:rPr>
        <w:t>2016 TO 2026</w:t>
      </w:r>
    </w:p>
    <w:p w14:paraId="170C0C27" w14:textId="77777777" w:rsidR="00176F05" w:rsidRDefault="0097394D">
      <w:pPr>
        <w:spacing w:after="80"/>
        <w:jc w:val="center"/>
      </w:pPr>
      <w:r>
        <w:rPr>
          <w:rFonts w:eastAsia="Calibri"/>
          <w:b/>
          <w:sz w:val="21"/>
        </w:rPr>
        <w:t>Prepared by My True Prosperity</w:t>
      </w:r>
    </w:p>
    <w:p w14:paraId="443AEDB7" w14:textId="77777777" w:rsidR="00176F05" w:rsidRDefault="0097394D">
      <w:pPr>
        <w:spacing w:after="400"/>
        <w:jc w:val="center"/>
      </w:pPr>
      <w:r>
        <w:rPr>
          <w:rFonts w:eastAsia="Calibri"/>
          <w:color w:val="617180"/>
          <w:sz w:val="20"/>
        </w:rPr>
        <w:t>Bill Mills, Chief Prosperity Officer  |  August 2026</w:t>
      </w:r>
    </w:p>
    <w:p w14:paraId="23BE4C24" w14:textId="77777777" w:rsidR="00176F05" w:rsidRDefault="0097394D">
      <w:pPr>
        <w:spacing w:before="360" w:after="0"/>
        <w:jc w:val="center"/>
      </w:pPr>
      <w:r>
        <w:rPr>
          <w:rFonts w:eastAsia="Calibri"/>
          <w:b/>
          <w:i/>
          <w:color w:val="C69214"/>
          <w:sz w:val="26"/>
        </w:rPr>
        <w:t>Young people grow when the work is real.</w:t>
      </w:r>
    </w:p>
    <w:p w14:paraId="567BBF91" w14:textId="77777777" w:rsidR="00176F05" w:rsidRDefault="0097394D">
      <w:r>
        <w:br w:type="page"/>
      </w:r>
    </w:p>
    <w:p w14:paraId="64710A3F" w14:textId="77777777" w:rsidR="00176F05" w:rsidRDefault="0097394D">
      <w:r>
        <w:rPr>
          <w:rFonts w:eastAsia="Calibri"/>
          <w:b/>
          <w:caps/>
          <w:color w:val="C69214"/>
          <w:sz w:val="19"/>
        </w:rPr>
        <w:lastRenderedPageBreak/>
        <w:t>TEN YEARS OF IMPLEMENTATION</w:t>
      </w:r>
    </w:p>
    <w:p w14:paraId="5FA2F44B" w14:textId="77777777" w:rsidR="00176F05" w:rsidRDefault="0097394D">
      <w:pPr>
        <w:pStyle w:val="Heading1"/>
      </w:pPr>
      <w:r>
        <w:t>Executive Summary</w:t>
      </w:r>
    </w:p>
    <w:p w14:paraId="0982C02F" w14:textId="77777777" w:rsidR="00176F05" w:rsidRDefault="0097394D">
      <w:r>
        <w:rPr>
          <w:rFonts w:eastAsia="Calibri"/>
        </w:rPr>
        <w:t>The planned Institute of Bright Minds is the next stage of a model that has been operating since 2016. Over ten years, Bright Minds has developed from one internship into a multi-track youth workforce and research initiative serving young people from ALICE and low-to-moderate-income households across Central Florida.</w:t>
      </w:r>
    </w:p>
    <w:p w14:paraId="781383DE" w14:textId="77777777" w:rsidR="00176F05" w:rsidRDefault="0097394D">
      <w:r>
        <w:rPr>
          <w:rFonts w:eastAsia="Calibri"/>
        </w:rPr>
        <w:t>Participants complete meaningful work to professional standards. They study socioeconomic conditions affecting their communities, develop products and recommendations, work across teams, and present findings to audiences in the financial capability field. Participant work has reached a national practitioner network of nearly 4,000.</w:t>
      </w:r>
    </w:p>
    <w:p w14:paraId="1FB6CFB7" w14:textId="77777777" w:rsidR="00176F05" w:rsidRDefault="0097394D">
      <w:r>
        <w:rPr>
          <w:rFonts w:eastAsia="Calibri"/>
        </w:rPr>
        <w:t>The current record includes 123+ alumni with documented post-program outcomes. Alumni have attended 30+ colleges and universities and have moved into finance, accounting, investment banking, technology, defense, research, education, public service, military service, entrepreneurship, and other professional fields.</w:t>
      </w:r>
    </w:p>
    <w:p w14:paraId="434B60E5" w14:textId="77777777" w:rsidR="00176F05" w:rsidRDefault="0097394D">
      <w:r>
        <w:rPr>
          <w:rFonts w:eastAsia="Calibri"/>
        </w:rPr>
        <w:t>This report assembles the historical evidence supporting the next stage of development. It preserves an important boundary: the available information does not establish that Bright Minds alone caused later alumni outcomes, and planned Institute components are not presented as completed results.</w:t>
      </w:r>
    </w:p>
    <w:p w14:paraId="3DD0FA9F" w14:textId="77777777" w:rsidR="00176F05" w:rsidRDefault="0097394D">
      <w:pPr>
        <w:pStyle w:val="Heading2"/>
      </w:pPr>
      <w:r>
        <w:t>Bright Minds at a Glance</w:t>
      </w:r>
    </w:p>
    <w:tbl>
      <w:tblPr>
        <w:tblW w:w="9360" w:type="dxa"/>
        <w:tblInd w:w="120" w:type="dxa"/>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Layout w:type="fixed"/>
        <w:tblLook w:val="04A0" w:firstRow="1" w:lastRow="0" w:firstColumn="1" w:lastColumn="0" w:noHBand="0" w:noVBand="1"/>
      </w:tblPr>
      <w:tblGrid>
        <w:gridCol w:w="2340"/>
        <w:gridCol w:w="2340"/>
        <w:gridCol w:w="2340"/>
        <w:gridCol w:w="2340"/>
      </w:tblGrid>
      <w:tr w:rsidR="00176F05" w14:paraId="10511288" w14:textId="77777777">
        <w:tc>
          <w:tcPr>
            <w:tcW w:w="2340" w:type="dxa"/>
            <w:shd w:val="clear" w:color="auto" w:fill="EAF1F6"/>
            <w:tcMar>
              <w:top w:w="80" w:type="dxa"/>
              <w:left w:w="120" w:type="dxa"/>
              <w:bottom w:w="80" w:type="dxa"/>
              <w:right w:w="120" w:type="dxa"/>
            </w:tcMar>
            <w:vAlign w:val="center"/>
          </w:tcPr>
          <w:p w14:paraId="152B7FE7" w14:textId="77777777" w:rsidR="00176F05" w:rsidRDefault="0097394D">
            <w:pPr>
              <w:spacing w:before="140" w:after="40"/>
              <w:jc w:val="center"/>
            </w:pPr>
            <w:r>
              <w:rPr>
                <w:rFonts w:eastAsia="Calibri"/>
                <w:b/>
                <w:color w:val="17365D"/>
                <w:sz w:val="37"/>
              </w:rPr>
              <w:t>2016</w:t>
            </w:r>
          </w:p>
          <w:p w14:paraId="40D6881A" w14:textId="77777777" w:rsidR="00176F05" w:rsidRDefault="0097394D">
            <w:pPr>
              <w:spacing w:after="140" w:line="245" w:lineRule="auto"/>
              <w:jc w:val="center"/>
            </w:pPr>
            <w:r>
              <w:rPr>
                <w:rFonts w:eastAsia="Calibri"/>
                <w:sz w:val="17"/>
              </w:rPr>
              <w:t>Program founded</w:t>
            </w:r>
          </w:p>
        </w:tc>
        <w:tc>
          <w:tcPr>
            <w:tcW w:w="2340" w:type="dxa"/>
            <w:shd w:val="clear" w:color="auto" w:fill="EAF1F6"/>
            <w:tcMar>
              <w:top w:w="80" w:type="dxa"/>
              <w:left w:w="120" w:type="dxa"/>
              <w:bottom w:w="80" w:type="dxa"/>
              <w:right w:w="120" w:type="dxa"/>
            </w:tcMar>
            <w:vAlign w:val="center"/>
          </w:tcPr>
          <w:p w14:paraId="0130165B" w14:textId="77777777" w:rsidR="00176F05" w:rsidRDefault="0097394D">
            <w:pPr>
              <w:spacing w:before="140" w:after="40"/>
              <w:jc w:val="center"/>
            </w:pPr>
            <w:r>
              <w:rPr>
                <w:rFonts w:eastAsia="Calibri"/>
                <w:b/>
                <w:color w:val="17365D"/>
                <w:sz w:val="37"/>
              </w:rPr>
              <w:t>10</w:t>
            </w:r>
          </w:p>
          <w:p w14:paraId="2CD64A6C" w14:textId="77777777" w:rsidR="00176F05" w:rsidRDefault="0097394D">
            <w:pPr>
              <w:spacing w:after="140" w:line="245" w:lineRule="auto"/>
              <w:jc w:val="center"/>
            </w:pPr>
            <w:r>
              <w:rPr>
                <w:rFonts w:eastAsia="Calibri"/>
                <w:sz w:val="17"/>
              </w:rPr>
              <w:t>Cohort years, 2016 to 2025</w:t>
            </w:r>
          </w:p>
        </w:tc>
        <w:tc>
          <w:tcPr>
            <w:tcW w:w="2340" w:type="dxa"/>
            <w:shd w:val="clear" w:color="auto" w:fill="EAF1F6"/>
            <w:tcMar>
              <w:top w:w="80" w:type="dxa"/>
              <w:left w:w="120" w:type="dxa"/>
              <w:bottom w:w="80" w:type="dxa"/>
              <w:right w:w="120" w:type="dxa"/>
            </w:tcMar>
            <w:vAlign w:val="center"/>
          </w:tcPr>
          <w:p w14:paraId="33F1CEE7" w14:textId="77777777" w:rsidR="00176F05" w:rsidRDefault="0097394D">
            <w:pPr>
              <w:spacing w:before="140" w:after="40"/>
              <w:jc w:val="center"/>
            </w:pPr>
            <w:r>
              <w:rPr>
                <w:rFonts w:eastAsia="Calibri"/>
                <w:b/>
                <w:color w:val="17365D"/>
                <w:sz w:val="37"/>
              </w:rPr>
              <w:t>123+</w:t>
            </w:r>
          </w:p>
          <w:p w14:paraId="5E9B45B3" w14:textId="77777777" w:rsidR="00176F05" w:rsidRDefault="0097394D">
            <w:pPr>
              <w:spacing w:after="140" w:line="245" w:lineRule="auto"/>
              <w:jc w:val="center"/>
            </w:pPr>
            <w:r>
              <w:rPr>
                <w:rFonts w:eastAsia="Calibri"/>
                <w:sz w:val="17"/>
              </w:rPr>
              <w:t>Alumni with documented outcomes</w:t>
            </w:r>
          </w:p>
        </w:tc>
        <w:tc>
          <w:tcPr>
            <w:tcW w:w="2340" w:type="dxa"/>
            <w:shd w:val="clear" w:color="auto" w:fill="EAF1F6"/>
            <w:tcMar>
              <w:top w:w="80" w:type="dxa"/>
              <w:left w:w="120" w:type="dxa"/>
              <w:bottom w:w="80" w:type="dxa"/>
              <w:right w:w="120" w:type="dxa"/>
            </w:tcMar>
            <w:vAlign w:val="center"/>
          </w:tcPr>
          <w:p w14:paraId="05CDDB0E" w14:textId="77777777" w:rsidR="00176F05" w:rsidRDefault="0097394D">
            <w:pPr>
              <w:spacing w:before="140" w:after="40"/>
              <w:jc w:val="center"/>
            </w:pPr>
            <w:r>
              <w:rPr>
                <w:rFonts w:eastAsia="Calibri"/>
                <w:b/>
                <w:color w:val="17365D"/>
                <w:sz w:val="37"/>
              </w:rPr>
              <w:t>30+</w:t>
            </w:r>
          </w:p>
          <w:p w14:paraId="45595CFC" w14:textId="77777777" w:rsidR="00176F05" w:rsidRDefault="0097394D">
            <w:pPr>
              <w:spacing w:after="140" w:line="245" w:lineRule="auto"/>
              <w:jc w:val="center"/>
            </w:pPr>
            <w:r>
              <w:rPr>
                <w:rFonts w:eastAsia="Calibri"/>
                <w:sz w:val="17"/>
              </w:rPr>
              <w:t>Colleges and universities represented</w:t>
            </w:r>
          </w:p>
        </w:tc>
      </w:tr>
      <w:tr w:rsidR="00176F05" w14:paraId="697790FF" w14:textId="77777777">
        <w:tc>
          <w:tcPr>
            <w:tcW w:w="2340" w:type="dxa"/>
            <w:shd w:val="clear" w:color="auto" w:fill="FBF2D9"/>
            <w:tcMar>
              <w:top w:w="80" w:type="dxa"/>
              <w:left w:w="120" w:type="dxa"/>
              <w:bottom w:w="80" w:type="dxa"/>
              <w:right w:w="120" w:type="dxa"/>
            </w:tcMar>
            <w:vAlign w:val="center"/>
          </w:tcPr>
          <w:p w14:paraId="11409CDD" w14:textId="77777777" w:rsidR="00176F05" w:rsidRDefault="0097394D">
            <w:pPr>
              <w:spacing w:before="140" w:after="40"/>
              <w:jc w:val="center"/>
            </w:pPr>
            <w:r>
              <w:rPr>
                <w:rFonts w:eastAsia="Calibri"/>
                <w:b/>
                <w:color w:val="17365D"/>
                <w:sz w:val="37"/>
              </w:rPr>
              <w:t>~4,000</w:t>
            </w:r>
          </w:p>
          <w:p w14:paraId="76CE7943" w14:textId="77777777" w:rsidR="00176F05" w:rsidRDefault="0097394D">
            <w:pPr>
              <w:spacing w:after="140" w:line="245" w:lineRule="auto"/>
              <w:jc w:val="center"/>
            </w:pPr>
            <w:r>
              <w:rPr>
                <w:rFonts w:eastAsia="Calibri"/>
                <w:sz w:val="17"/>
              </w:rPr>
              <w:t>Financial capability practitioners reached</w:t>
            </w:r>
          </w:p>
        </w:tc>
        <w:tc>
          <w:tcPr>
            <w:tcW w:w="2340" w:type="dxa"/>
            <w:shd w:val="clear" w:color="auto" w:fill="FBF2D9"/>
            <w:tcMar>
              <w:top w:w="80" w:type="dxa"/>
              <w:left w:w="120" w:type="dxa"/>
              <w:bottom w:w="80" w:type="dxa"/>
              <w:right w:w="120" w:type="dxa"/>
            </w:tcMar>
            <w:vAlign w:val="center"/>
          </w:tcPr>
          <w:p w14:paraId="6A0EFB45" w14:textId="77777777" w:rsidR="00176F05" w:rsidRDefault="0097394D">
            <w:pPr>
              <w:spacing w:before="140" w:after="40"/>
              <w:jc w:val="center"/>
            </w:pPr>
            <w:r>
              <w:rPr>
                <w:rFonts w:eastAsia="Calibri"/>
                <w:b/>
                <w:color w:val="17365D"/>
                <w:sz w:val="37"/>
              </w:rPr>
              <w:t>12+</w:t>
            </w:r>
          </w:p>
          <w:p w14:paraId="5BCA70B0" w14:textId="77777777" w:rsidR="00176F05" w:rsidRDefault="0097394D">
            <w:pPr>
              <w:spacing w:after="140" w:line="245" w:lineRule="auto"/>
              <w:jc w:val="center"/>
            </w:pPr>
            <w:r>
              <w:rPr>
                <w:rFonts w:eastAsia="Calibri"/>
                <w:sz w:val="17"/>
              </w:rPr>
              <w:t>Socioeconomic research topics addressed</w:t>
            </w:r>
          </w:p>
        </w:tc>
        <w:tc>
          <w:tcPr>
            <w:tcW w:w="2340" w:type="dxa"/>
            <w:shd w:val="clear" w:color="auto" w:fill="FBF2D9"/>
            <w:tcMar>
              <w:top w:w="80" w:type="dxa"/>
              <w:left w:w="120" w:type="dxa"/>
              <w:bottom w:w="80" w:type="dxa"/>
              <w:right w:w="120" w:type="dxa"/>
            </w:tcMar>
            <w:vAlign w:val="center"/>
          </w:tcPr>
          <w:p w14:paraId="0051FBFD" w14:textId="77777777" w:rsidR="00176F05" w:rsidRDefault="0097394D">
            <w:pPr>
              <w:spacing w:before="140" w:after="40"/>
              <w:jc w:val="center"/>
            </w:pPr>
            <w:r>
              <w:rPr>
                <w:rFonts w:eastAsia="Calibri"/>
                <w:b/>
                <w:color w:val="17365D"/>
                <w:sz w:val="37"/>
              </w:rPr>
              <w:t>8+</w:t>
            </w:r>
          </w:p>
          <w:p w14:paraId="643CC989" w14:textId="77777777" w:rsidR="00176F05" w:rsidRDefault="0097394D">
            <w:pPr>
              <w:spacing w:after="140" w:line="245" w:lineRule="auto"/>
              <w:jc w:val="center"/>
            </w:pPr>
            <w:r>
              <w:rPr>
                <w:rFonts w:eastAsia="Calibri"/>
                <w:sz w:val="17"/>
              </w:rPr>
              <w:t>Major financial institutions represented among alumni</w:t>
            </w:r>
          </w:p>
        </w:tc>
        <w:tc>
          <w:tcPr>
            <w:tcW w:w="2340" w:type="dxa"/>
            <w:shd w:val="clear" w:color="auto" w:fill="FBF2D9"/>
            <w:tcMar>
              <w:top w:w="80" w:type="dxa"/>
              <w:left w:w="120" w:type="dxa"/>
              <w:bottom w:w="80" w:type="dxa"/>
              <w:right w:w="120" w:type="dxa"/>
            </w:tcMar>
            <w:vAlign w:val="center"/>
          </w:tcPr>
          <w:p w14:paraId="0B0C888E" w14:textId="77777777" w:rsidR="00176F05" w:rsidRDefault="0097394D">
            <w:pPr>
              <w:spacing w:before="140" w:after="40"/>
              <w:jc w:val="center"/>
            </w:pPr>
            <w:r>
              <w:rPr>
                <w:rFonts w:eastAsia="Calibri"/>
                <w:b/>
                <w:color w:val="17365D"/>
                <w:sz w:val="37"/>
              </w:rPr>
              <w:t>1</w:t>
            </w:r>
          </w:p>
          <w:p w14:paraId="7ADF7424" w14:textId="77777777" w:rsidR="00176F05" w:rsidRDefault="0097394D">
            <w:pPr>
              <w:spacing w:after="140" w:line="245" w:lineRule="auto"/>
              <w:jc w:val="center"/>
            </w:pPr>
            <w:r>
              <w:rPr>
                <w:rFonts w:eastAsia="Calibri"/>
                <w:sz w:val="17"/>
              </w:rPr>
              <w:t>Participant product promoted by Florida Governor and CFO offices</w:t>
            </w:r>
          </w:p>
        </w:tc>
      </w:tr>
    </w:tbl>
    <w:p w14:paraId="2B0273A9" w14:textId="77777777" w:rsidR="00176F05" w:rsidRDefault="0097394D">
      <w:pPr>
        <w:pStyle w:val="TableCitationText"/>
      </w:pPr>
      <w:r>
        <w:rPr>
          <w:rFonts w:eastAsia="Calibri"/>
          <w:i/>
        </w:rPr>
        <w:t>Metrics reflect documented program records, alumni outreach, and professional profile review. The alumni record is substantial and remains incomplete.</w:t>
      </w:r>
    </w:p>
    <w:p w14:paraId="181BD8E3" w14:textId="77777777" w:rsidR="00176F05" w:rsidRDefault="0097394D">
      <w:pPr>
        <w:keepLines/>
        <w:pBdr>
          <w:left w:val="single" w:sz="18" w:space="8" w:color="C69214"/>
        </w:pBdr>
        <w:shd w:val="clear" w:color="auto" w:fill="EAF1F6"/>
        <w:spacing w:before="160" w:after="200" w:line="276" w:lineRule="auto"/>
        <w:ind w:left="202" w:right="115"/>
      </w:pPr>
      <w:r>
        <w:rPr>
          <w:rFonts w:eastAsia="Calibri"/>
          <w:b/>
          <w:color w:val="C69214"/>
          <w:sz w:val="19"/>
        </w:rPr>
        <w:t xml:space="preserve">WHY THIS RECORD MATTERS NOW  </w:t>
      </w:r>
      <w:r>
        <w:rPr>
          <w:rFonts w:eastAsia="Calibri"/>
          <w:sz w:val="21"/>
        </w:rPr>
        <w:t>A decade of implementation has produced an operating model, an alumni base, field relationships, returning leaders, and a clear measurement agenda. The planned Institute would organize those assets into a broader education, workforce, financial capability, and enterprise platform.</w:t>
      </w:r>
    </w:p>
    <w:p w14:paraId="7F5C42AB" w14:textId="77777777" w:rsidR="00176F05" w:rsidRDefault="0097394D">
      <w:r>
        <w:br w:type="page"/>
      </w:r>
    </w:p>
    <w:p w14:paraId="1176A1E5" w14:textId="77777777" w:rsidR="00176F05" w:rsidRDefault="0097394D">
      <w:r>
        <w:rPr>
          <w:rFonts w:eastAsia="Calibri"/>
          <w:b/>
          <w:caps/>
          <w:color w:val="C69214"/>
          <w:sz w:val="19"/>
        </w:rPr>
        <w:lastRenderedPageBreak/>
        <w:t>THE PROGRAM MODEL</w:t>
      </w:r>
    </w:p>
    <w:p w14:paraId="0F2D86C4" w14:textId="77777777" w:rsidR="00176F05" w:rsidRDefault="0097394D">
      <w:pPr>
        <w:pStyle w:val="Heading1"/>
      </w:pPr>
      <w:r>
        <w:t>What Bright Minds Is</w:t>
      </w:r>
    </w:p>
    <w:p w14:paraId="6097C5FF" w14:textId="77777777" w:rsidR="00176F05" w:rsidRDefault="0097394D">
      <w:pPr>
        <w:spacing w:after="200" w:line="288" w:lineRule="auto"/>
      </w:pPr>
      <w:r>
        <w:rPr>
          <w:rFonts w:eastAsia="Calibri"/>
          <w:b/>
          <w:color w:val="17365D"/>
        </w:rPr>
        <w:t>A youth workforce and research program built around work that has an audience, a use, and a professional standard.</w:t>
      </w:r>
    </w:p>
    <w:p w14:paraId="3993BBB4" w14:textId="77777777" w:rsidR="00176F05" w:rsidRDefault="0097394D">
      <w:r>
        <w:rPr>
          <w:rFonts w:eastAsia="Calibri"/>
        </w:rPr>
        <w:t>Bright Minds was developed by My True Prosperity, a Central Florida social enterprise with more than 15 years of involvement in the financial capability field. Participants have historically come from ALICE and low-to-moderate-income households across Central Florida.</w:t>
      </w:r>
    </w:p>
    <w:p w14:paraId="7394A9BA" w14:textId="77777777" w:rsidR="00176F05" w:rsidRDefault="0097394D">
      <w:r>
        <w:rPr>
          <w:rFonts w:eastAsia="Calibri"/>
        </w:rPr>
        <w:t>Each cohort receives research or project assignments connected to socioeconomic conditions affecting individuals and families with limited financial resources. Participants investigate those conditions, gather information, identify gaps, develop recommendations or products, and prepare their work for professional audiences.</w:t>
      </w:r>
    </w:p>
    <w:p w14:paraId="29402D66" w14:textId="77777777" w:rsidR="00176F05" w:rsidRDefault="0097394D">
      <w:r>
        <w:rPr>
          <w:rFonts w:eastAsia="Calibri"/>
        </w:rPr>
        <w:t>Through My True Prosperity's national network, participant work has reached financial institutions, nonprofit leaders, program directors, educators, and others working in financial capability. That distribution gives the work consequences beyond completion of the program.</w:t>
      </w:r>
    </w:p>
    <w:p w14:paraId="1E1A5A07" w14:textId="77777777" w:rsidR="00176F05" w:rsidRDefault="0097394D">
      <w:pPr>
        <w:keepLines/>
        <w:pBdr>
          <w:left w:val="single" w:sz="18" w:space="8" w:color="C69214"/>
        </w:pBdr>
        <w:shd w:val="clear" w:color="auto" w:fill="EAF1F6"/>
        <w:spacing w:before="160" w:after="200" w:line="276" w:lineRule="auto"/>
        <w:ind w:left="202" w:right="115"/>
      </w:pPr>
      <w:r>
        <w:rPr>
          <w:rFonts w:eastAsia="Calibri"/>
          <w:b/>
          <w:color w:val="C69214"/>
          <w:sz w:val="19"/>
        </w:rPr>
        <w:t xml:space="preserve">PROFESSIONAL WORK  </w:t>
      </w:r>
      <w:r>
        <w:rPr>
          <w:rFonts w:eastAsia="Calibri"/>
          <w:sz w:val="21"/>
        </w:rPr>
        <w:t>Participants function as junior research and product development contributors. They manage assignments, work in teams, respond to feedback, meet deadlines, and explain their work to external audiences.</w:t>
      </w:r>
    </w:p>
    <w:p w14:paraId="73FC8C51" w14:textId="77777777" w:rsidR="00176F05" w:rsidRDefault="0097394D">
      <w:pPr>
        <w:pStyle w:val="Heading2"/>
      </w:pPr>
      <w:r>
        <w:t>Applied Workforce Development</w:t>
      </w:r>
    </w:p>
    <w:p w14:paraId="3A9FEE18" w14:textId="77777777" w:rsidR="00176F05" w:rsidRDefault="0097394D">
      <w:r>
        <w:rPr>
          <w:rFonts w:eastAsia="Calibri"/>
        </w:rPr>
        <w:t>Workforce preparation has been embedded in Bright Minds throughout its history. The operating environment asks participants to demonstrate accuracy, reliability, preparation, communication, collaboration, and the ability to defend their decisions.</w:t>
      </w:r>
    </w:p>
    <w:p w14:paraId="247DF380" w14:textId="77777777" w:rsidR="00176F05" w:rsidRDefault="0097394D">
      <w:r>
        <w:rPr>
          <w:rFonts w:eastAsia="Calibri"/>
        </w:rPr>
        <w:t>Several former participants have credited Bright Minds with helping them prepare for internships, communicate more effectively in professional settings, build confidence, or gain experience they could use when seeking employment. Their later trajectories add context to those accounts, with documented placements across finance, technology, defense, research, education, public service, and entrepreneurship.</w:t>
      </w:r>
    </w:p>
    <w:p w14:paraId="0EF334BE" w14:textId="77777777" w:rsidR="00176F05" w:rsidRDefault="0097394D">
      <w:pPr>
        <w:pStyle w:val="Heading2"/>
      </w:pPr>
      <w:r>
        <w:t>The Internal Leadership Pipeline</w:t>
      </w:r>
    </w:p>
    <w:p w14:paraId="233B1C31" w14:textId="77777777" w:rsidR="00176F05" w:rsidRDefault="0097394D">
      <w:r>
        <w:rPr>
          <w:rFonts w:eastAsia="Calibri"/>
        </w:rPr>
        <w:t>Former participants have returned as paid cohort leaders and managers, taking responsibility for younger participants moving through the process they once completed. Claudia Navarro, a 2021 participant, later moved into an operational role with My True Prosperity while continuing her education.</w:t>
      </w:r>
    </w:p>
    <w:p w14:paraId="2DB53C00" w14:textId="77777777" w:rsidR="00176F05" w:rsidRDefault="0097394D">
      <w:r>
        <w:br w:type="page"/>
      </w:r>
    </w:p>
    <w:p w14:paraId="1CCB8852" w14:textId="77777777" w:rsidR="00176F05" w:rsidRDefault="0097394D">
      <w:r>
        <w:rPr>
          <w:rFonts w:eastAsia="Calibri"/>
          <w:b/>
          <w:caps/>
          <w:color w:val="C69214"/>
          <w:sz w:val="19"/>
        </w:rPr>
        <w:lastRenderedPageBreak/>
        <w:t>COMMUNITY AND ECONOMIC RELEVANCE</w:t>
      </w:r>
    </w:p>
    <w:p w14:paraId="47396DBB" w14:textId="77777777" w:rsidR="00176F05" w:rsidRDefault="0097394D">
      <w:pPr>
        <w:pStyle w:val="Heading1"/>
      </w:pPr>
      <w:r>
        <w:t>Relevance to Bank and Community Development Partners</w:t>
      </w:r>
    </w:p>
    <w:p w14:paraId="013384C4" w14:textId="77777777" w:rsidR="00176F05" w:rsidRDefault="0097394D">
      <w:pPr>
        <w:spacing w:after="200" w:line="288" w:lineRule="auto"/>
      </w:pPr>
      <w:r>
        <w:rPr>
          <w:rFonts w:eastAsia="Calibri"/>
          <w:b/>
          <w:color w:val="17365D"/>
        </w:rPr>
        <w:t>The documented Bright Minds model intersects with priorities that often matter to banks, foundations, workforce organizations, employers, and community-development partners.</w:t>
      </w:r>
    </w:p>
    <w:tbl>
      <w:tblPr>
        <w:tblW w:w="9360" w:type="dxa"/>
        <w:tblInd w:w="120" w:type="dxa"/>
        <w:tblBorders>
          <w:top w:val="single" w:sz="5" w:space="0" w:color="CBD5DF"/>
          <w:left w:val="single" w:sz="5" w:space="0" w:color="CBD5DF"/>
          <w:bottom w:val="single" w:sz="5" w:space="0" w:color="CBD5DF"/>
          <w:right w:val="single" w:sz="5" w:space="0" w:color="CBD5DF"/>
          <w:insideH w:val="single" w:sz="5" w:space="0" w:color="CBD5DF"/>
          <w:insideV w:val="single" w:sz="5" w:space="0" w:color="CBD5DF"/>
        </w:tblBorders>
        <w:tblLayout w:type="fixed"/>
        <w:tblLook w:val="04A0" w:firstRow="1" w:lastRow="0" w:firstColumn="1" w:lastColumn="0" w:noHBand="0" w:noVBand="1"/>
      </w:tblPr>
      <w:tblGrid>
        <w:gridCol w:w="3060"/>
        <w:gridCol w:w="6300"/>
      </w:tblGrid>
      <w:tr w:rsidR="00176F05" w14:paraId="756D7369" w14:textId="77777777">
        <w:trPr>
          <w:tblHeader/>
        </w:trPr>
        <w:tc>
          <w:tcPr>
            <w:tcW w:w="3060" w:type="dxa"/>
            <w:shd w:val="clear" w:color="auto" w:fill="17365D"/>
            <w:tcMar>
              <w:top w:w="58" w:type="dxa"/>
              <w:left w:w="120" w:type="dxa"/>
              <w:bottom w:w="58" w:type="dxa"/>
              <w:right w:w="120" w:type="dxa"/>
            </w:tcMar>
            <w:vAlign w:val="center"/>
          </w:tcPr>
          <w:p w14:paraId="307900E9" w14:textId="77777777" w:rsidR="00176F05" w:rsidRDefault="0097394D">
            <w:pPr>
              <w:jc w:val="center"/>
            </w:pPr>
            <w:r>
              <w:rPr>
                <w:rFonts w:eastAsia="Calibri"/>
                <w:b/>
                <w:color w:val="FFFFFF"/>
                <w:sz w:val="19"/>
              </w:rPr>
              <w:t>Partner priority</w:t>
            </w:r>
          </w:p>
        </w:tc>
        <w:tc>
          <w:tcPr>
            <w:tcW w:w="6300" w:type="dxa"/>
            <w:shd w:val="clear" w:color="auto" w:fill="17365D"/>
            <w:tcMar>
              <w:top w:w="58" w:type="dxa"/>
              <w:left w:w="120" w:type="dxa"/>
              <w:bottom w:w="58" w:type="dxa"/>
              <w:right w:w="120" w:type="dxa"/>
            </w:tcMar>
            <w:vAlign w:val="center"/>
          </w:tcPr>
          <w:p w14:paraId="2D24BCD8" w14:textId="77777777" w:rsidR="00176F05" w:rsidRDefault="0097394D">
            <w:pPr>
              <w:jc w:val="center"/>
            </w:pPr>
            <w:r>
              <w:rPr>
                <w:rFonts w:eastAsia="Calibri"/>
                <w:b/>
                <w:color w:val="FFFFFF"/>
                <w:sz w:val="19"/>
              </w:rPr>
              <w:t>Bright Minds connection and evidence status</w:t>
            </w:r>
          </w:p>
        </w:tc>
      </w:tr>
      <w:tr w:rsidR="00176F05" w14:paraId="4A17333A" w14:textId="77777777">
        <w:tc>
          <w:tcPr>
            <w:tcW w:w="3060" w:type="dxa"/>
            <w:shd w:val="clear" w:color="auto" w:fill="FFFFFF"/>
            <w:tcMar>
              <w:top w:w="58" w:type="dxa"/>
              <w:left w:w="120" w:type="dxa"/>
              <w:bottom w:w="58" w:type="dxa"/>
              <w:right w:w="120" w:type="dxa"/>
            </w:tcMar>
            <w:vAlign w:val="center"/>
          </w:tcPr>
          <w:p w14:paraId="02F1698A" w14:textId="77777777" w:rsidR="00176F05" w:rsidRDefault="0097394D">
            <w:pPr>
              <w:spacing w:line="245" w:lineRule="auto"/>
            </w:pPr>
            <w:r>
              <w:rPr>
                <w:rFonts w:eastAsia="Calibri"/>
                <w:b/>
                <w:color w:val="17365D"/>
                <w:sz w:val="18"/>
              </w:rPr>
              <w:t>LMI-targeted community benefit</w:t>
            </w:r>
          </w:p>
        </w:tc>
        <w:tc>
          <w:tcPr>
            <w:tcW w:w="6300" w:type="dxa"/>
            <w:shd w:val="clear" w:color="auto" w:fill="FFFFFF"/>
            <w:tcMar>
              <w:top w:w="58" w:type="dxa"/>
              <w:left w:w="120" w:type="dxa"/>
              <w:bottom w:w="58" w:type="dxa"/>
              <w:right w:w="120" w:type="dxa"/>
            </w:tcMar>
            <w:vAlign w:val="center"/>
          </w:tcPr>
          <w:p w14:paraId="026A7BAC" w14:textId="77777777" w:rsidR="00176F05" w:rsidRDefault="0097394D">
            <w:pPr>
              <w:spacing w:line="245" w:lineRule="auto"/>
            </w:pPr>
            <w:r>
              <w:rPr>
                <w:rFonts w:eastAsia="Calibri"/>
                <w:sz w:val="17"/>
              </w:rPr>
              <w:t>Bright Minds has historically served young people from ALICE and low-to-moderate-income households. Future intake and reporting should document the applicable LMI definition, beneficiary count, and geography separately from ALICE status.</w:t>
            </w:r>
          </w:p>
        </w:tc>
      </w:tr>
      <w:tr w:rsidR="00176F05" w14:paraId="26C6301A" w14:textId="77777777">
        <w:tc>
          <w:tcPr>
            <w:tcW w:w="3060" w:type="dxa"/>
            <w:shd w:val="clear" w:color="auto" w:fill="EAF1F6"/>
            <w:tcMar>
              <w:top w:w="58" w:type="dxa"/>
              <w:left w:w="120" w:type="dxa"/>
              <w:bottom w:w="58" w:type="dxa"/>
              <w:right w:w="120" w:type="dxa"/>
            </w:tcMar>
            <w:vAlign w:val="center"/>
          </w:tcPr>
          <w:p w14:paraId="77151C51" w14:textId="77777777" w:rsidR="00176F05" w:rsidRDefault="0097394D">
            <w:pPr>
              <w:spacing w:line="245" w:lineRule="auto"/>
            </w:pPr>
            <w:r>
              <w:rPr>
                <w:rFonts w:eastAsia="Calibri"/>
                <w:b/>
                <w:color w:val="17365D"/>
                <w:sz w:val="18"/>
              </w:rPr>
              <w:t>Workforce development and job preparation</w:t>
            </w:r>
          </w:p>
        </w:tc>
        <w:tc>
          <w:tcPr>
            <w:tcW w:w="6300" w:type="dxa"/>
            <w:shd w:val="clear" w:color="auto" w:fill="EAF1F6"/>
            <w:tcMar>
              <w:top w:w="58" w:type="dxa"/>
              <w:left w:w="120" w:type="dxa"/>
              <w:bottom w:w="58" w:type="dxa"/>
              <w:right w:w="120" w:type="dxa"/>
            </w:tcMar>
            <w:vAlign w:val="center"/>
          </w:tcPr>
          <w:p w14:paraId="7FEC4955" w14:textId="77777777" w:rsidR="00176F05" w:rsidRDefault="0097394D">
            <w:pPr>
              <w:spacing w:line="245" w:lineRule="auto"/>
            </w:pPr>
            <w:r>
              <w:rPr>
                <w:rFonts w:eastAsia="Calibri"/>
                <w:sz w:val="17"/>
              </w:rPr>
              <w:t>Participants complete research and product assignments, work to deadlines, present to professional audiences, and practice communication, collaboration, and problem solving. Alumni records document later education and employment pathways, while program-attributable employment effects have not yet been measured.</w:t>
            </w:r>
          </w:p>
        </w:tc>
      </w:tr>
      <w:tr w:rsidR="00176F05" w14:paraId="45B7273D" w14:textId="77777777">
        <w:tc>
          <w:tcPr>
            <w:tcW w:w="3060" w:type="dxa"/>
            <w:shd w:val="clear" w:color="auto" w:fill="FFFFFF"/>
            <w:tcMar>
              <w:top w:w="58" w:type="dxa"/>
              <w:left w:w="120" w:type="dxa"/>
              <w:bottom w:w="58" w:type="dxa"/>
              <w:right w:w="120" w:type="dxa"/>
            </w:tcMar>
            <w:vAlign w:val="center"/>
          </w:tcPr>
          <w:p w14:paraId="1C30106B" w14:textId="77777777" w:rsidR="00176F05" w:rsidRDefault="0097394D">
            <w:pPr>
              <w:spacing w:line="245" w:lineRule="auto"/>
            </w:pPr>
            <w:r>
              <w:rPr>
                <w:rFonts w:eastAsia="Calibri"/>
                <w:b/>
                <w:color w:val="17365D"/>
                <w:sz w:val="18"/>
              </w:rPr>
              <w:t>Financial capability and consumer access</w:t>
            </w:r>
          </w:p>
        </w:tc>
        <w:tc>
          <w:tcPr>
            <w:tcW w:w="6300" w:type="dxa"/>
            <w:shd w:val="clear" w:color="auto" w:fill="FFFFFF"/>
            <w:tcMar>
              <w:top w:w="58" w:type="dxa"/>
              <w:left w:w="120" w:type="dxa"/>
              <w:bottom w:w="58" w:type="dxa"/>
              <w:right w:w="120" w:type="dxa"/>
            </w:tcMar>
            <w:vAlign w:val="center"/>
          </w:tcPr>
          <w:p w14:paraId="7AF28A78" w14:textId="77777777" w:rsidR="00176F05" w:rsidRDefault="0097394D">
            <w:pPr>
              <w:spacing w:line="245" w:lineRule="auto"/>
            </w:pPr>
            <w:r>
              <w:rPr>
                <w:rFonts w:eastAsia="Calibri"/>
                <w:sz w:val="17"/>
              </w:rPr>
              <w:t>Research topics have included banking access, tax preparation, healthcare access, and other barriers affecting household stability. Participant work has reached a national network of nearly 4,000 financial capability practitioners.</w:t>
            </w:r>
          </w:p>
        </w:tc>
      </w:tr>
      <w:tr w:rsidR="00176F05" w14:paraId="6F021405" w14:textId="77777777">
        <w:tc>
          <w:tcPr>
            <w:tcW w:w="3060" w:type="dxa"/>
            <w:shd w:val="clear" w:color="auto" w:fill="EAF1F6"/>
            <w:tcMar>
              <w:top w:w="58" w:type="dxa"/>
              <w:left w:w="120" w:type="dxa"/>
              <w:bottom w:w="58" w:type="dxa"/>
              <w:right w:w="120" w:type="dxa"/>
            </w:tcMar>
            <w:vAlign w:val="center"/>
          </w:tcPr>
          <w:p w14:paraId="1E691C90" w14:textId="77777777" w:rsidR="00176F05" w:rsidRDefault="0097394D">
            <w:pPr>
              <w:spacing w:line="245" w:lineRule="auto"/>
            </w:pPr>
            <w:r>
              <w:rPr>
                <w:rFonts w:eastAsia="Calibri"/>
                <w:b/>
                <w:color w:val="17365D"/>
                <w:sz w:val="18"/>
              </w:rPr>
              <w:t>Entrepreneurship and small-business pathways</w:t>
            </w:r>
          </w:p>
        </w:tc>
        <w:tc>
          <w:tcPr>
            <w:tcW w:w="6300" w:type="dxa"/>
            <w:shd w:val="clear" w:color="auto" w:fill="EAF1F6"/>
            <w:tcMar>
              <w:top w:w="58" w:type="dxa"/>
              <w:left w:w="120" w:type="dxa"/>
              <w:bottom w:w="58" w:type="dxa"/>
              <w:right w:w="120" w:type="dxa"/>
            </w:tcMar>
            <w:vAlign w:val="center"/>
          </w:tcPr>
          <w:p w14:paraId="41798C24" w14:textId="77777777" w:rsidR="00176F05" w:rsidRDefault="0097394D">
            <w:pPr>
              <w:spacing w:line="245" w:lineRule="auto"/>
            </w:pPr>
            <w:r>
              <w:rPr>
                <w:rFonts w:eastAsia="Calibri"/>
                <w:sz w:val="17"/>
              </w:rPr>
              <w:t>The planned Institute would expand product development, paid work, enterprise building, and employer-connected application. These elements are prospective and should be documented by activity, beneficiary, business stage, and outcome.</w:t>
            </w:r>
          </w:p>
        </w:tc>
      </w:tr>
      <w:tr w:rsidR="00176F05" w14:paraId="2A894747" w14:textId="77777777">
        <w:tc>
          <w:tcPr>
            <w:tcW w:w="3060" w:type="dxa"/>
            <w:shd w:val="clear" w:color="auto" w:fill="FFFFFF"/>
            <w:tcMar>
              <w:top w:w="58" w:type="dxa"/>
              <w:left w:w="120" w:type="dxa"/>
              <w:bottom w:w="58" w:type="dxa"/>
              <w:right w:w="120" w:type="dxa"/>
            </w:tcMar>
            <w:vAlign w:val="center"/>
          </w:tcPr>
          <w:p w14:paraId="3DC706F1" w14:textId="77777777" w:rsidR="00176F05" w:rsidRDefault="0097394D">
            <w:pPr>
              <w:spacing w:line="245" w:lineRule="auto"/>
            </w:pPr>
            <w:r>
              <w:rPr>
                <w:rFonts w:eastAsia="Calibri"/>
                <w:b/>
                <w:color w:val="17365D"/>
                <w:sz w:val="18"/>
              </w:rPr>
              <w:t>Responsiveness and accountability</w:t>
            </w:r>
          </w:p>
        </w:tc>
        <w:tc>
          <w:tcPr>
            <w:tcW w:w="6300" w:type="dxa"/>
            <w:shd w:val="clear" w:color="auto" w:fill="FFFFFF"/>
            <w:tcMar>
              <w:top w:w="58" w:type="dxa"/>
              <w:left w:w="120" w:type="dxa"/>
              <w:bottom w:w="58" w:type="dxa"/>
              <w:right w:w="120" w:type="dxa"/>
            </w:tcMar>
            <w:vAlign w:val="center"/>
          </w:tcPr>
          <w:p w14:paraId="17622099" w14:textId="77777777" w:rsidR="00176F05" w:rsidRDefault="0097394D">
            <w:pPr>
              <w:spacing w:line="245" w:lineRule="auto"/>
            </w:pPr>
            <w:r>
              <w:rPr>
                <w:rFonts w:eastAsia="Calibri"/>
                <w:sz w:val="17"/>
              </w:rPr>
              <w:t>A stronger data system would help partners assess who is served, what services are delivered, how participants progress, and how activities respond to identified community needs.</w:t>
            </w:r>
          </w:p>
        </w:tc>
      </w:tr>
    </w:tbl>
    <w:p w14:paraId="6F804362" w14:textId="77777777" w:rsidR="00176F05" w:rsidRDefault="0097394D">
      <w:pPr>
        <w:pStyle w:val="TableCitationText"/>
      </w:pPr>
      <w:r>
        <w:rPr>
          <w:rFonts w:eastAsia="Calibri"/>
          <w:i/>
          <w:sz w:val="16"/>
        </w:rPr>
        <w:t>Relevance framing is informed by current federal CRA regulations and Interagency Questions and Answers, including treatment of community services, education, workforce development, and job training targeted to LMI people. Program-specific consideration depends on the facts and current guidance applicable to each bank.</w:t>
      </w:r>
    </w:p>
    <w:p w14:paraId="26A60994" w14:textId="77777777" w:rsidR="00176F05" w:rsidRDefault="0097394D">
      <w:pPr>
        <w:keepLines/>
        <w:pBdr>
          <w:left w:val="single" w:sz="18" w:space="8" w:color="C69214"/>
        </w:pBdr>
        <w:shd w:val="clear" w:color="auto" w:fill="FBF2D9"/>
        <w:spacing w:before="160" w:after="200" w:line="276" w:lineRule="auto"/>
        <w:ind w:left="202" w:right="115"/>
      </w:pPr>
      <w:r>
        <w:rPr>
          <w:rFonts w:eastAsia="Calibri"/>
          <w:b/>
          <w:color w:val="C69214"/>
          <w:sz w:val="19"/>
        </w:rPr>
        <w:t xml:space="preserve">CRA BOUNDARY  </w:t>
      </w:r>
      <w:r>
        <w:rPr>
          <w:rFonts w:eastAsia="Calibri"/>
          <w:sz w:val="21"/>
        </w:rPr>
        <w:t>This is a relevance map, not a determination of CRA eligibility. Consideration depends on the activity's primary purpose, beneficiaries, geography, structure, documentation, and the standards applied by the bank and its regulator.</w:t>
      </w:r>
    </w:p>
    <w:p w14:paraId="4ACA39B9" w14:textId="77777777" w:rsidR="00176F05" w:rsidRDefault="0097394D">
      <w:r>
        <w:br w:type="page"/>
      </w:r>
    </w:p>
    <w:p w14:paraId="4B154892" w14:textId="77777777" w:rsidR="00176F05" w:rsidRDefault="0097394D">
      <w:r>
        <w:rPr>
          <w:rFonts w:eastAsia="Calibri"/>
          <w:b/>
          <w:caps/>
          <w:color w:val="C69214"/>
          <w:sz w:val="19"/>
        </w:rPr>
        <w:lastRenderedPageBreak/>
        <w:t>APPLIED FINANCIAL CAPABILITY</w:t>
      </w:r>
    </w:p>
    <w:p w14:paraId="0A8DE521" w14:textId="77777777" w:rsidR="00176F05" w:rsidRDefault="0097394D">
      <w:pPr>
        <w:pStyle w:val="Heading1"/>
      </w:pPr>
      <w:r>
        <w:t>Financial Capability and Community Relevance</w:t>
      </w:r>
    </w:p>
    <w:p w14:paraId="009BDF89" w14:textId="77777777" w:rsidR="00176F05" w:rsidRDefault="0097394D">
      <w:pPr>
        <w:spacing w:after="200" w:line="288" w:lineRule="auto"/>
      </w:pPr>
      <w:r>
        <w:rPr>
          <w:rFonts w:eastAsia="Calibri"/>
          <w:b/>
          <w:color w:val="17365D"/>
        </w:rPr>
        <w:t>Bright Minds connects youth development to the systems and barriers that shape household financial opportunity.</w:t>
      </w:r>
    </w:p>
    <w:p w14:paraId="76DB3540" w14:textId="77777777" w:rsidR="00176F05" w:rsidRDefault="0097394D">
      <w:r>
        <w:rPr>
          <w:rFonts w:eastAsia="Calibri"/>
        </w:rPr>
        <w:t>Participant research has examined issues affecting households with limited financial resources, including banking access, healthcare access, tax preparation, and related barriers. The work asks participants to study real systems, identify gaps, develop responses, and communicate findings to professionals positioned to use the information.</w:t>
      </w:r>
    </w:p>
    <w:p w14:paraId="5296D814" w14:textId="77777777" w:rsidR="00176F05" w:rsidRDefault="0097394D">
      <w:r>
        <w:rPr>
          <w:rFonts w:eastAsia="Calibri"/>
        </w:rPr>
        <w:t>In 2017, two interns conducted a statewide review of banking access in Florida. Participants contacted financial institutions and asked about entry-level products available to lower-income consumers. Their work documented product information and the experience of trying to obtain it, including instances in which staff could not answer basic questions or provided unhelpful responses.</w:t>
      </w:r>
    </w:p>
    <w:p w14:paraId="7FEC57FF" w14:textId="77777777" w:rsidR="00176F05" w:rsidRDefault="0097394D">
      <w:r>
        <w:rPr>
          <w:rFonts w:eastAsia="Calibri"/>
        </w:rPr>
        <w:t>In 2018, participants developed an application designed to help Floridians locate Volunteer Income Tax Assistance sites. The product was recognized and promoted by the offices of Florida's Governor and Chief Financial Officer.</w:t>
      </w:r>
    </w:p>
    <w:p w14:paraId="28F8BE96" w14:textId="77777777" w:rsidR="00176F05" w:rsidRDefault="0097394D">
      <w:pPr>
        <w:pStyle w:val="Heading2"/>
      </w:pPr>
      <w:r>
        <w:t>Pathways Connected to Economic Mobility</w:t>
      </w:r>
    </w:p>
    <w:p w14:paraId="69B43829" w14:textId="77777777" w:rsidR="00176F05" w:rsidRDefault="0097394D">
      <w:r>
        <w:rPr>
          <w:rFonts w:eastAsia="Calibri"/>
        </w:rPr>
        <w:t>The Bright Minds model develops capabilities that can support long-term economic advancement: professional communication, problem solving, research, financial understanding, workplace expectations, collaboration, and exposure to educational and career opportunities.</w:t>
      </w:r>
    </w:p>
    <w:p w14:paraId="41DB7B86" w14:textId="77777777" w:rsidR="00176F05" w:rsidRDefault="0097394D">
      <w:r>
        <w:rPr>
          <w:rFonts w:eastAsia="Calibri"/>
        </w:rPr>
        <w:t>The alumni record shows multiple forms of progression. Some former participants entered banking, accounting, investment banking, technology, engineering, education, research, and public service. Others entered military service or entrepreneurship. Many continued into undergraduate or graduate education.</w:t>
      </w:r>
    </w:p>
    <w:p w14:paraId="1C1E9C79" w14:textId="77777777" w:rsidR="00176F05" w:rsidRDefault="0097394D">
      <w:pPr>
        <w:keepLines/>
        <w:pBdr>
          <w:left w:val="single" w:sz="18" w:space="8" w:color="C69214"/>
        </w:pBdr>
        <w:shd w:val="clear" w:color="auto" w:fill="FBF2D9"/>
        <w:spacing w:before="160" w:after="200" w:line="276" w:lineRule="auto"/>
        <w:ind w:left="202" w:right="115"/>
      </w:pPr>
      <w:r>
        <w:rPr>
          <w:rFonts w:eastAsia="Calibri"/>
          <w:b/>
          <w:color w:val="C69214"/>
          <w:sz w:val="19"/>
        </w:rPr>
        <w:t xml:space="preserve">MEASUREMENT BOUNDARY  </w:t>
      </w:r>
      <w:r>
        <w:rPr>
          <w:rFonts w:eastAsia="Calibri"/>
          <w:sz w:val="21"/>
        </w:rPr>
        <w:t>The current record does not include the income, wage, savings, credit, or household financial data needed to measure economic mobility directly across cohorts. This report treats educational and professional trajectories as indicators of participant progression.</w:t>
      </w:r>
    </w:p>
    <w:p w14:paraId="5D658ACC" w14:textId="77777777" w:rsidR="00176F05" w:rsidRDefault="0097394D">
      <w:r>
        <w:rPr>
          <w:rFonts w:eastAsia="Calibri"/>
        </w:rPr>
        <w:t>ALICE and LMI are related concepts with different definitions and uses. Future participant data should record ALICE status and the applicable LMI measure separately, including the definition and geography used for each funding or regulatory context.</w:t>
      </w:r>
    </w:p>
    <w:p w14:paraId="1B8AA0D5" w14:textId="77777777" w:rsidR="00176F05" w:rsidRDefault="0097394D">
      <w:r>
        <w:br w:type="page"/>
      </w:r>
    </w:p>
    <w:p w14:paraId="3048D45C" w14:textId="77777777" w:rsidR="00176F05" w:rsidRDefault="0097394D">
      <w:r>
        <w:rPr>
          <w:rFonts w:eastAsia="Calibri"/>
          <w:b/>
          <w:caps/>
          <w:color w:val="C69214"/>
          <w:sz w:val="19"/>
        </w:rPr>
        <w:lastRenderedPageBreak/>
        <w:t>A DECADE OF FIELD-FACING WORK</w:t>
      </w:r>
    </w:p>
    <w:p w14:paraId="7507A41C" w14:textId="77777777" w:rsidR="00176F05" w:rsidRDefault="0097394D">
      <w:pPr>
        <w:pStyle w:val="Heading1"/>
      </w:pPr>
      <w:r>
        <w:t>Research, Products, and Professional Audiences</w:t>
      </w:r>
    </w:p>
    <w:p w14:paraId="412FCC72" w14:textId="77777777" w:rsidR="00176F05" w:rsidRDefault="0097394D">
      <w:pPr>
        <w:spacing w:after="200" w:line="288" w:lineRule="auto"/>
      </w:pPr>
      <w:r>
        <w:rPr>
          <w:rFonts w:eastAsia="Calibri"/>
          <w:b/>
          <w:color w:val="17365D"/>
        </w:rPr>
        <w:t>The program's history shows a progression from a single research assignment to multi-track cohorts and national conference presentations.</w:t>
      </w:r>
    </w:p>
    <w:p w14:paraId="61C2F812" w14:textId="77777777" w:rsidR="00176F05" w:rsidRDefault="0097394D">
      <w:pPr>
        <w:keepNext/>
        <w:spacing w:before="180" w:after="80"/>
      </w:pPr>
      <w:r>
        <w:rPr>
          <w:rFonts w:eastAsia="Calibri"/>
          <w:b/>
          <w:color w:val="C69214"/>
          <w:sz w:val="24"/>
        </w:rPr>
        <w:t>2016 | Healthcare Access</w:t>
      </w:r>
    </w:p>
    <w:p w14:paraId="0FB3AF65" w14:textId="77777777" w:rsidR="00176F05" w:rsidRDefault="0097394D">
      <w:pPr>
        <w:keepLines/>
        <w:spacing w:after="100"/>
      </w:pPr>
      <w:r>
        <w:rPr>
          <w:rFonts w:eastAsia="Calibri"/>
        </w:rPr>
        <w:t>Bright Minds began with one intern working with a statewide coalition of free clinics. The participant examined healthcare access challenges facing low-to-moderate-income Floridians and expanded the inquiry to gather a broader picture of access barriers.</w:t>
      </w:r>
    </w:p>
    <w:p w14:paraId="7B5C7BE5" w14:textId="77777777" w:rsidR="00176F05" w:rsidRDefault="0097394D">
      <w:pPr>
        <w:keepLines/>
        <w:spacing w:after="140"/>
      </w:pPr>
      <w:r>
        <w:rPr>
          <w:rFonts w:eastAsia="Calibri"/>
        </w:rPr>
        <w:t>The findings were presented to financial capability practitioners through a webinar. Community-based research, youth participation, and dissemination to a professional audience became recurring elements of the model.</w:t>
      </w:r>
    </w:p>
    <w:p w14:paraId="260A07F7" w14:textId="77777777" w:rsidR="00176F05" w:rsidRDefault="0097394D">
      <w:pPr>
        <w:keepNext/>
        <w:spacing w:before="180" w:after="80"/>
      </w:pPr>
      <w:r>
        <w:rPr>
          <w:rFonts w:eastAsia="Calibri"/>
          <w:b/>
          <w:color w:val="C69214"/>
          <w:sz w:val="24"/>
        </w:rPr>
        <w:t>2017 | Banking Access</w:t>
      </w:r>
    </w:p>
    <w:p w14:paraId="69E0474D" w14:textId="77777777" w:rsidR="00176F05" w:rsidRDefault="0097394D">
      <w:pPr>
        <w:keepLines/>
        <w:spacing w:after="100"/>
      </w:pPr>
      <w:r>
        <w:rPr>
          <w:rFonts w:eastAsia="Calibri"/>
        </w:rPr>
        <w:t>Two interns conducted statewide outreach to financial institutions. The research focused on entry-level banking products available to lower-income consumers and the experience of seeking information about those products.</w:t>
      </w:r>
    </w:p>
    <w:p w14:paraId="5C1C3421" w14:textId="77777777" w:rsidR="00176F05" w:rsidRDefault="0097394D">
      <w:pPr>
        <w:keepLines/>
        <w:spacing w:after="140"/>
      </w:pPr>
      <w:r>
        <w:rPr>
          <w:rFonts w:eastAsia="Calibri"/>
        </w:rPr>
        <w:t>Participants documented gaps in product knowledge and customer service and presented their findings to financial capability practitioners during a period of growing national attention to low-cost banking access.</w:t>
      </w:r>
    </w:p>
    <w:p w14:paraId="4108CA0D" w14:textId="77777777" w:rsidR="00176F05" w:rsidRDefault="0097394D">
      <w:pPr>
        <w:keepNext/>
        <w:spacing w:before="180" w:after="80"/>
      </w:pPr>
      <w:r>
        <w:rPr>
          <w:rFonts w:eastAsia="Calibri"/>
          <w:b/>
          <w:color w:val="C69214"/>
          <w:sz w:val="24"/>
        </w:rPr>
        <w:t>2018 | VITA Access and Product Development</w:t>
      </w:r>
    </w:p>
    <w:p w14:paraId="093C3C6D" w14:textId="77777777" w:rsidR="00176F05" w:rsidRDefault="0097394D">
      <w:pPr>
        <w:keepLines/>
        <w:spacing w:after="100"/>
      </w:pPr>
      <w:r>
        <w:rPr>
          <w:rFonts w:eastAsia="Calibri"/>
        </w:rPr>
        <w:t>Bright Minds expanded to its first full cohort of 18 participants, with multiple research tracks and a larger product development component.</w:t>
      </w:r>
    </w:p>
    <w:p w14:paraId="66E6E40F" w14:textId="77777777" w:rsidR="00176F05" w:rsidRDefault="0097394D">
      <w:pPr>
        <w:keepLines/>
        <w:spacing w:after="140"/>
      </w:pPr>
      <w:r>
        <w:rPr>
          <w:rFonts w:eastAsia="Calibri"/>
        </w:rPr>
        <w:t>One product was an application designed to help Floridians locate Volunteer Income Tax Assistance sites. The offices of Florida's Governor and Chief Financial Officer recognized and promoted the tool. The program also moved from webinar-based dissemination to an in-person symposium format.</w:t>
      </w:r>
    </w:p>
    <w:p w14:paraId="42C7F1B6" w14:textId="77777777" w:rsidR="00176F05" w:rsidRDefault="0097394D">
      <w:pPr>
        <w:keepLines/>
        <w:pBdr>
          <w:left w:val="single" w:sz="18" w:space="8" w:color="C69214"/>
        </w:pBdr>
        <w:shd w:val="clear" w:color="auto" w:fill="EAF1F6"/>
        <w:spacing w:before="160" w:after="200" w:line="276" w:lineRule="auto"/>
        <w:ind w:left="202" w:right="115"/>
      </w:pPr>
      <w:r>
        <w:rPr>
          <w:rFonts w:eastAsia="Calibri"/>
          <w:b/>
          <w:color w:val="C69214"/>
          <w:sz w:val="19"/>
        </w:rPr>
        <w:t xml:space="preserve">PROGRESSION  </w:t>
      </w:r>
      <w:r>
        <w:rPr>
          <w:rFonts w:eastAsia="Calibri"/>
          <w:sz w:val="21"/>
        </w:rPr>
        <w:t>The first three years established the research model, documented a consumer access problem, and demonstrated that participants could build a product with statewide relevance.</w:t>
      </w:r>
    </w:p>
    <w:p w14:paraId="0B9099EE" w14:textId="77777777" w:rsidR="00176F05" w:rsidRDefault="0097394D">
      <w:r>
        <w:br w:type="page"/>
      </w:r>
    </w:p>
    <w:p w14:paraId="456DE586" w14:textId="77777777" w:rsidR="00176F05" w:rsidRDefault="0097394D">
      <w:r>
        <w:rPr>
          <w:rFonts w:eastAsia="Calibri"/>
          <w:b/>
          <w:caps/>
          <w:color w:val="C69214"/>
          <w:sz w:val="19"/>
        </w:rPr>
        <w:t>CONTINUED IMPLEMENTATION</w:t>
      </w:r>
    </w:p>
    <w:p w14:paraId="240B2A03" w14:textId="77777777" w:rsidR="00176F05" w:rsidRDefault="0097394D">
      <w:pPr>
        <w:pStyle w:val="Heading1"/>
      </w:pPr>
      <w:r>
        <w:t>Expansion, Adaptation, and National Presentation</w:t>
      </w:r>
    </w:p>
    <w:p w14:paraId="5B5770E2" w14:textId="77777777" w:rsidR="00176F05" w:rsidRDefault="0097394D">
      <w:pPr>
        <w:keepNext/>
        <w:spacing w:before="180" w:after="80"/>
      </w:pPr>
      <w:r>
        <w:rPr>
          <w:rFonts w:eastAsia="Calibri"/>
          <w:b/>
          <w:color w:val="C69214"/>
          <w:sz w:val="24"/>
        </w:rPr>
        <w:t>2019 to 2022 | Continued Research and Expansion</w:t>
      </w:r>
    </w:p>
    <w:p w14:paraId="449265FE" w14:textId="77777777" w:rsidR="00176F05" w:rsidRDefault="0097394D">
      <w:pPr>
        <w:keepLines/>
        <w:spacing w:after="100"/>
      </w:pPr>
      <w:r>
        <w:rPr>
          <w:rFonts w:eastAsia="Calibri"/>
        </w:rPr>
        <w:t>Cohorts continued to conduct original research on socioeconomic issues affecting LMI households. Participants identified gaps, developed responses, and presented their work through symposiums and My True Prosperity's professional network.</w:t>
      </w:r>
    </w:p>
    <w:p w14:paraId="3F5F9D96" w14:textId="77777777" w:rsidR="00176F05" w:rsidRDefault="0097394D">
      <w:pPr>
        <w:keepLines/>
        <w:spacing w:after="140"/>
      </w:pPr>
      <w:r>
        <w:rPr>
          <w:rFonts w:eastAsia="Calibri"/>
        </w:rPr>
        <w:t>Research was distributed to program directors, financial institutions, nonprofit professionals, and others working within the financial capability field.</w:t>
      </w:r>
    </w:p>
    <w:p w14:paraId="522D54F0" w14:textId="77777777" w:rsidR="00176F05" w:rsidRDefault="0097394D">
      <w:pPr>
        <w:keepNext/>
        <w:spacing w:before="180" w:after="80"/>
      </w:pPr>
      <w:r>
        <w:rPr>
          <w:rFonts w:eastAsia="Calibri"/>
          <w:b/>
          <w:color w:val="C69214"/>
          <w:sz w:val="24"/>
        </w:rPr>
        <w:t>2020 | Virtual Delivery</w:t>
      </w:r>
    </w:p>
    <w:p w14:paraId="30206609" w14:textId="77777777" w:rsidR="00176F05" w:rsidRDefault="0097394D">
      <w:pPr>
        <w:keepLines/>
        <w:spacing w:after="100"/>
      </w:pPr>
      <w:r>
        <w:rPr>
          <w:rFonts w:eastAsia="Calibri"/>
        </w:rPr>
        <w:t>The COVID-19 pandemic required Bright Minds to move to a virtual format. Approximately 60 participants were enrolled during the summer of 2020, making it the largest cohort to that point.</w:t>
      </w:r>
    </w:p>
    <w:p w14:paraId="65F741DB" w14:textId="77777777" w:rsidR="00176F05" w:rsidRDefault="0097394D">
      <w:pPr>
        <w:keepLines/>
        <w:spacing w:after="140"/>
      </w:pPr>
      <w:r>
        <w:rPr>
          <w:rFonts w:eastAsia="Calibri"/>
        </w:rPr>
        <w:t>Bright Minds continued in virtual and hybrid formats in subsequent years. The transition expanded the program's ability to distribute participant research beyond in-person events.</w:t>
      </w:r>
    </w:p>
    <w:p w14:paraId="59A65F8D" w14:textId="77777777" w:rsidR="00176F05" w:rsidRDefault="0097394D">
      <w:pPr>
        <w:keepNext/>
        <w:spacing w:before="180" w:after="80"/>
      </w:pPr>
      <w:r>
        <w:rPr>
          <w:rFonts w:eastAsia="Calibri"/>
          <w:b/>
          <w:color w:val="C69214"/>
          <w:sz w:val="24"/>
        </w:rPr>
        <w:t>2025 and 2026 | National Conference Presentations</w:t>
      </w:r>
    </w:p>
    <w:p w14:paraId="5EAC7AC3" w14:textId="77777777" w:rsidR="00176F05" w:rsidRDefault="0097394D">
      <w:pPr>
        <w:keepLines/>
        <w:spacing w:after="100"/>
      </w:pPr>
      <w:r>
        <w:rPr>
          <w:rFonts w:eastAsia="Calibri"/>
        </w:rPr>
        <w:t>In 2025, participants presented original research at Shift Forward, a national conference for financial capability practitioners and educators. Participants returned to the conference stage in 2026.</w:t>
      </w:r>
    </w:p>
    <w:p w14:paraId="19EE832D" w14:textId="77777777" w:rsidR="00176F05" w:rsidRDefault="0097394D">
      <w:pPr>
        <w:keepLines/>
        <w:spacing w:after="140"/>
      </w:pPr>
      <w:r>
        <w:rPr>
          <w:rFonts w:eastAsia="Calibri"/>
        </w:rPr>
        <w:t>These presentations continued the program's long-standing practice of placing youth-generated work before professional audiences.</w:t>
      </w:r>
    </w:p>
    <w:p w14:paraId="6E2B243F" w14:textId="77777777" w:rsidR="00176F05" w:rsidRDefault="0097394D">
      <w:pPr>
        <w:pStyle w:val="Heading2"/>
      </w:pPr>
      <w:r>
        <w:t>What the Decade Shows</w:t>
      </w:r>
    </w:p>
    <w:p w14:paraId="081A68FF" w14:textId="77777777" w:rsidR="00176F05" w:rsidRDefault="0097394D">
      <w:pPr>
        <w:keepLines/>
        <w:numPr>
          <w:ilvl w:val="0"/>
          <w:numId w:val="1"/>
        </w:numPr>
      </w:pPr>
      <w:r>
        <w:rPr>
          <w:rFonts w:eastAsia="Calibri"/>
          <w:b/>
          <w:sz w:val="21"/>
        </w:rPr>
        <w:t>Continuity:</w:t>
      </w:r>
      <w:r>
        <w:rPr>
          <w:rFonts w:eastAsia="Calibri"/>
          <w:sz w:val="21"/>
        </w:rPr>
        <w:t xml:space="preserve"> research and presentation activity has continued across ten cohort years.</w:t>
      </w:r>
    </w:p>
    <w:p w14:paraId="783AA585" w14:textId="77777777" w:rsidR="00176F05" w:rsidRDefault="0097394D">
      <w:pPr>
        <w:keepLines/>
        <w:numPr>
          <w:ilvl w:val="0"/>
          <w:numId w:val="1"/>
        </w:numPr>
      </w:pPr>
      <w:r>
        <w:rPr>
          <w:rFonts w:eastAsia="Calibri"/>
          <w:b/>
          <w:sz w:val="21"/>
        </w:rPr>
        <w:t>Adaptability:</w:t>
      </w:r>
      <w:r>
        <w:rPr>
          <w:rFonts w:eastAsia="Calibri"/>
          <w:sz w:val="21"/>
        </w:rPr>
        <w:t xml:space="preserve"> the program moved to virtual delivery during the pandemic and sustained participation.</w:t>
      </w:r>
    </w:p>
    <w:p w14:paraId="7CECE9EE" w14:textId="77777777" w:rsidR="00176F05" w:rsidRDefault="0097394D">
      <w:pPr>
        <w:keepLines/>
        <w:numPr>
          <w:ilvl w:val="0"/>
          <w:numId w:val="1"/>
        </w:numPr>
      </w:pPr>
      <w:r>
        <w:rPr>
          <w:rFonts w:eastAsia="Calibri"/>
          <w:b/>
          <w:sz w:val="21"/>
        </w:rPr>
        <w:t>Field relevance:</w:t>
      </w:r>
      <w:r>
        <w:rPr>
          <w:rFonts w:eastAsia="Calibri"/>
          <w:sz w:val="21"/>
        </w:rPr>
        <w:t xml:space="preserve"> participants addressed issues tied to financial access and household stability.</w:t>
      </w:r>
    </w:p>
    <w:p w14:paraId="27D7512A" w14:textId="77777777" w:rsidR="00176F05" w:rsidRDefault="0097394D">
      <w:pPr>
        <w:keepLines/>
        <w:numPr>
          <w:ilvl w:val="0"/>
          <w:numId w:val="1"/>
        </w:numPr>
      </w:pPr>
      <w:r>
        <w:rPr>
          <w:rFonts w:eastAsia="Calibri"/>
          <w:b/>
          <w:sz w:val="21"/>
        </w:rPr>
        <w:t>External reach:</w:t>
      </w:r>
      <w:r>
        <w:rPr>
          <w:rFonts w:eastAsia="Calibri"/>
          <w:sz w:val="21"/>
        </w:rPr>
        <w:t xml:space="preserve"> participant work was presented or distributed through a national practitioner network.</w:t>
      </w:r>
    </w:p>
    <w:p w14:paraId="0A517BEC" w14:textId="77777777" w:rsidR="00176F05" w:rsidRDefault="0097394D">
      <w:pPr>
        <w:keepLines/>
        <w:numPr>
          <w:ilvl w:val="0"/>
          <w:numId w:val="1"/>
        </w:numPr>
      </w:pPr>
      <w:r>
        <w:rPr>
          <w:rFonts w:eastAsia="Calibri"/>
          <w:b/>
          <w:sz w:val="21"/>
        </w:rPr>
        <w:t>Increasing visibility:</w:t>
      </w:r>
      <w:r>
        <w:rPr>
          <w:rFonts w:eastAsia="Calibri"/>
          <w:sz w:val="21"/>
        </w:rPr>
        <w:t xml:space="preserve"> youth-generated research reached statewide offices and a national conference stage.</w:t>
      </w:r>
    </w:p>
    <w:p w14:paraId="730BC108" w14:textId="77777777" w:rsidR="00176F05" w:rsidRDefault="0097394D">
      <w:r>
        <w:br w:type="page"/>
      </w:r>
    </w:p>
    <w:p w14:paraId="24F947DE" w14:textId="77777777" w:rsidR="00176F05" w:rsidRDefault="0097394D">
      <w:r>
        <w:rPr>
          <w:rFonts w:eastAsia="Calibri"/>
          <w:b/>
          <w:caps/>
          <w:color w:val="C69214"/>
          <w:sz w:val="19"/>
        </w:rPr>
        <w:t>DOCUMENTED ALUMNI OUTCOMES</w:t>
      </w:r>
    </w:p>
    <w:p w14:paraId="0A46E226" w14:textId="77777777" w:rsidR="00176F05" w:rsidRDefault="0097394D">
      <w:pPr>
        <w:pStyle w:val="Heading1"/>
      </w:pPr>
      <w:r>
        <w:t>Educational and Professional Trajectories</w:t>
      </w:r>
    </w:p>
    <w:p w14:paraId="5C5E7EC1" w14:textId="77777777" w:rsidR="00176F05" w:rsidRDefault="0097394D">
      <w:pPr>
        <w:spacing w:after="200" w:line="288" w:lineRule="auto"/>
      </w:pPr>
      <w:r>
        <w:rPr>
          <w:rFonts w:eastAsia="Calibri"/>
          <w:b/>
          <w:color w:val="17365D"/>
        </w:rPr>
        <w:t>The current record includes 123+ alumni with documented post-program outcomes across multiple cohorts, educational pathways, and industries.</w:t>
      </w:r>
    </w:p>
    <w:p w14:paraId="30319FBC" w14:textId="77777777" w:rsidR="00176F05" w:rsidRDefault="0097394D">
      <w:r>
        <w:rPr>
          <w:rFonts w:eastAsia="Calibri"/>
        </w:rPr>
        <w:t>The record is incomplete because comprehensive longitudinal tracking was not in place during every program year. The documented cases still provide a substantial view of where many participants have gone after Bright Minds.</w:t>
      </w:r>
    </w:p>
    <w:p w14:paraId="7AC9BF2B" w14:textId="77777777" w:rsidR="00176F05" w:rsidRDefault="0097394D">
      <w:pPr>
        <w:pStyle w:val="Heading2"/>
      </w:pPr>
      <w:r>
        <w:t>Selected Alumni Employer Placements</w:t>
      </w:r>
    </w:p>
    <w:tbl>
      <w:tblPr>
        <w:tblW w:w="9360" w:type="dxa"/>
        <w:tblInd w:w="120" w:type="dxa"/>
        <w:tblBorders>
          <w:top w:val="single" w:sz="5" w:space="0" w:color="CBD5DF"/>
          <w:left w:val="single" w:sz="5" w:space="0" w:color="CBD5DF"/>
          <w:bottom w:val="single" w:sz="5" w:space="0" w:color="CBD5DF"/>
          <w:right w:val="single" w:sz="5" w:space="0" w:color="CBD5DF"/>
          <w:insideH w:val="single" w:sz="5" w:space="0" w:color="CBD5DF"/>
          <w:insideV w:val="single" w:sz="5" w:space="0" w:color="CBD5DF"/>
        </w:tblBorders>
        <w:tblLayout w:type="fixed"/>
        <w:tblLook w:val="04A0" w:firstRow="1" w:lastRow="0" w:firstColumn="1" w:lastColumn="0" w:noHBand="0" w:noVBand="1"/>
      </w:tblPr>
      <w:tblGrid>
        <w:gridCol w:w="3120"/>
        <w:gridCol w:w="3120"/>
        <w:gridCol w:w="3120"/>
      </w:tblGrid>
      <w:tr w:rsidR="00176F05" w14:paraId="09951F17" w14:textId="77777777">
        <w:trPr>
          <w:tblHeader/>
        </w:trPr>
        <w:tc>
          <w:tcPr>
            <w:tcW w:w="3120" w:type="dxa"/>
            <w:shd w:val="clear" w:color="auto" w:fill="17365D"/>
            <w:tcMar>
              <w:top w:w="80" w:type="dxa"/>
              <w:left w:w="120" w:type="dxa"/>
              <w:bottom w:w="80" w:type="dxa"/>
              <w:right w:w="120" w:type="dxa"/>
            </w:tcMar>
            <w:vAlign w:val="center"/>
          </w:tcPr>
          <w:p w14:paraId="28B7C697" w14:textId="77777777" w:rsidR="00176F05" w:rsidRDefault="0097394D">
            <w:pPr>
              <w:spacing w:before="60" w:after="60"/>
              <w:jc w:val="center"/>
            </w:pPr>
            <w:r>
              <w:rPr>
                <w:rFonts w:eastAsia="Calibri"/>
                <w:b/>
                <w:color w:val="FFFFFF"/>
                <w:sz w:val="18"/>
              </w:rPr>
              <w:t>Finance, Banking, and Professional Services</w:t>
            </w:r>
          </w:p>
        </w:tc>
        <w:tc>
          <w:tcPr>
            <w:tcW w:w="3120" w:type="dxa"/>
            <w:shd w:val="clear" w:color="auto" w:fill="17365D"/>
            <w:tcMar>
              <w:top w:w="80" w:type="dxa"/>
              <w:left w:w="120" w:type="dxa"/>
              <w:bottom w:w="80" w:type="dxa"/>
              <w:right w:w="120" w:type="dxa"/>
            </w:tcMar>
            <w:vAlign w:val="center"/>
          </w:tcPr>
          <w:p w14:paraId="2D4A4CF9" w14:textId="77777777" w:rsidR="00176F05" w:rsidRDefault="0097394D">
            <w:pPr>
              <w:spacing w:before="60" w:after="60"/>
              <w:jc w:val="center"/>
            </w:pPr>
            <w:r>
              <w:rPr>
                <w:rFonts w:eastAsia="Calibri"/>
                <w:b/>
                <w:color w:val="FFFFFF"/>
                <w:sz w:val="18"/>
              </w:rPr>
              <w:t>Technology, Engineering, and Defense</w:t>
            </w:r>
          </w:p>
        </w:tc>
        <w:tc>
          <w:tcPr>
            <w:tcW w:w="3120" w:type="dxa"/>
            <w:shd w:val="clear" w:color="auto" w:fill="17365D"/>
            <w:tcMar>
              <w:top w:w="80" w:type="dxa"/>
              <w:left w:w="120" w:type="dxa"/>
              <w:bottom w:w="80" w:type="dxa"/>
              <w:right w:w="120" w:type="dxa"/>
            </w:tcMar>
            <w:vAlign w:val="center"/>
          </w:tcPr>
          <w:p w14:paraId="1677B630" w14:textId="77777777" w:rsidR="00176F05" w:rsidRDefault="0097394D">
            <w:pPr>
              <w:spacing w:before="60" w:after="60"/>
              <w:jc w:val="center"/>
            </w:pPr>
            <w:r>
              <w:rPr>
                <w:rFonts w:eastAsia="Calibri"/>
                <w:b/>
                <w:color w:val="FFFFFF"/>
                <w:sz w:val="18"/>
              </w:rPr>
              <w:t>Public Service, Research, Education, and Military</w:t>
            </w:r>
          </w:p>
        </w:tc>
      </w:tr>
      <w:tr w:rsidR="00176F05" w14:paraId="3E9F76FB" w14:textId="77777777">
        <w:tc>
          <w:tcPr>
            <w:tcW w:w="3120" w:type="dxa"/>
            <w:shd w:val="clear" w:color="auto" w:fill="F4F6F9"/>
            <w:tcMar>
              <w:top w:w="80" w:type="dxa"/>
              <w:left w:w="120" w:type="dxa"/>
              <w:bottom w:w="80" w:type="dxa"/>
              <w:right w:w="120" w:type="dxa"/>
            </w:tcMar>
            <w:vAlign w:val="center"/>
          </w:tcPr>
          <w:p w14:paraId="38D66C0E" w14:textId="77777777" w:rsidR="00176F05" w:rsidRDefault="0097394D">
            <w:pPr>
              <w:keepLines/>
              <w:numPr>
                <w:ilvl w:val="0"/>
                <w:numId w:val="1"/>
              </w:numPr>
            </w:pPr>
            <w:r>
              <w:rPr>
                <w:rFonts w:eastAsia="Calibri"/>
                <w:sz w:val="18"/>
              </w:rPr>
              <w:t>J.P. Morgan Chase</w:t>
            </w:r>
          </w:p>
          <w:p w14:paraId="14FC1F7E" w14:textId="77777777" w:rsidR="00176F05" w:rsidRDefault="0097394D">
            <w:pPr>
              <w:keepLines/>
              <w:numPr>
                <w:ilvl w:val="0"/>
                <w:numId w:val="1"/>
              </w:numPr>
            </w:pPr>
            <w:r>
              <w:rPr>
                <w:rFonts w:eastAsia="Calibri"/>
                <w:sz w:val="18"/>
              </w:rPr>
              <w:t>Harbor View Advisors</w:t>
            </w:r>
          </w:p>
          <w:p w14:paraId="2750E66A" w14:textId="77777777" w:rsidR="00176F05" w:rsidRDefault="0097394D">
            <w:pPr>
              <w:keepLines/>
              <w:numPr>
                <w:ilvl w:val="0"/>
                <w:numId w:val="1"/>
              </w:numPr>
            </w:pPr>
            <w:r>
              <w:rPr>
                <w:rFonts w:eastAsia="Calibri"/>
                <w:sz w:val="18"/>
              </w:rPr>
              <w:t>PwC</w:t>
            </w:r>
          </w:p>
          <w:p w14:paraId="65A4287A" w14:textId="77777777" w:rsidR="00176F05" w:rsidRDefault="0097394D">
            <w:pPr>
              <w:keepLines/>
              <w:numPr>
                <w:ilvl w:val="0"/>
                <w:numId w:val="1"/>
              </w:numPr>
            </w:pPr>
            <w:r>
              <w:rPr>
                <w:rFonts w:eastAsia="Calibri"/>
                <w:sz w:val="18"/>
              </w:rPr>
              <w:t>KPMG</w:t>
            </w:r>
          </w:p>
          <w:p w14:paraId="65B1C475" w14:textId="77777777" w:rsidR="00176F05" w:rsidRDefault="0097394D">
            <w:pPr>
              <w:keepLines/>
              <w:numPr>
                <w:ilvl w:val="0"/>
                <w:numId w:val="1"/>
              </w:numPr>
            </w:pPr>
            <w:r>
              <w:rPr>
                <w:rFonts w:eastAsia="Calibri"/>
                <w:sz w:val="18"/>
              </w:rPr>
              <w:t>Fidelity Investments</w:t>
            </w:r>
          </w:p>
          <w:p w14:paraId="6FCAAB2C" w14:textId="77777777" w:rsidR="00176F05" w:rsidRDefault="0097394D">
            <w:pPr>
              <w:keepLines/>
              <w:numPr>
                <w:ilvl w:val="0"/>
                <w:numId w:val="1"/>
              </w:numPr>
            </w:pPr>
            <w:r>
              <w:rPr>
                <w:rFonts w:eastAsia="Calibri"/>
                <w:sz w:val="18"/>
              </w:rPr>
              <w:t>FIS</w:t>
            </w:r>
          </w:p>
          <w:p w14:paraId="4D159BB0" w14:textId="77777777" w:rsidR="00176F05" w:rsidRDefault="0097394D">
            <w:pPr>
              <w:keepLines/>
              <w:numPr>
                <w:ilvl w:val="0"/>
                <w:numId w:val="1"/>
              </w:numPr>
            </w:pPr>
            <w:r>
              <w:rPr>
                <w:rFonts w:eastAsia="Calibri"/>
                <w:sz w:val="18"/>
              </w:rPr>
              <w:t>SouthState Bank</w:t>
            </w:r>
          </w:p>
          <w:p w14:paraId="51028D92" w14:textId="77777777" w:rsidR="00176F05" w:rsidRDefault="0097394D">
            <w:pPr>
              <w:keepLines/>
              <w:numPr>
                <w:ilvl w:val="0"/>
                <w:numId w:val="1"/>
              </w:numPr>
            </w:pPr>
            <w:r>
              <w:rPr>
                <w:rFonts w:eastAsia="Calibri"/>
                <w:sz w:val="18"/>
              </w:rPr>
              <w:t>Marriott Vacations Worldwide</w:t>
            </w:r>
          </w:p>
        </w:tc>
        <w:tc>
          <w:tcPr>
            <w:tcW w:w="3120" w:type="dxa"/>
            <w:shd w:val="clear" w:color="auto" w:fill="F4F6F9"/>
            <w:tcMar>
              <w:top w:w="80" w:type="dxa"/>
              <w:left w:w="120" w:type="dxa"/>
              <w:bottom w:w="80" w:type="dxa"/>
              <w:right w:w="120" w:type="dxa"/>
            </w:tcMar>
            <w:vAlign w:val="center"/>
          </w:tcPr>
          <w:p w14:paraId="69FE03B0" w14:textId="77777777" w:rsidR="00176F05" w:rsidRDefault="0097394D">
            <w:pPr>
              <w:keepLines/>
              <w:numPr>
                <w:ilvl w:val="0"/>
                <w:numId w:val="1"/>
              </w:numPr>
            </w:pPr>
            <w:r>
              <w:rPr>
                <w:rFonts w:eastAsia="Calibri"/>
                <w:sz w:val="18"/>
              </w:rPr>
              <w:t>Lockheed Martin</w:t>
            </w:r>
          </w:p>
          <w:p w14:paraId="50E0551F" w14:textId="77777777" w:rsidR="00176F05" w:rsidRDefault="0097394D">
            <w:pPr>
              <w:keepLines/>
              <w:numPr>
                <w:ilvl w:val="0"/>
                <w:numId w:val="1"/>
              </w:numPr>
            </w:pPr>
            <w:r>
              <w:rPr>
                <w:rFonts w:eastAsia="Calibri"/>
                <w:sz w:val="18"/>
              </w:rPr>
              <w:t>Microsoft</w:t>
            </w:r>
          </w:p>
          <w:p w14:paraId="492E6C77" w14:textId="77777777" w:rsidR="00176F05" w:rsidRDefault="0097394D">
            <w:pPr>
              <w:keepLines/>
              <w:numPr>
                <w:ilvl w:val="0"/>
                <w:numId w:val="1"/>
              </w:numPr>
            </w:pPr>
            <w:r>
              <w:rPr>
                <w:rFonts w:eastAsia="Calibri"/>
                <w:sz w:val="18"/>
              </w:rPr>
              <w:t>Google Tech Equity Collective</w:t>
            </w:r>
          </w:p>
          <w:p w14:paraId="1503E1C8" w14:textId="77777777" w:rsidR="00176F05" w:rsidRDefault="0097394D">
            <w:pPr>
              <w:keepLines/>
              <w:numPr>
                <w:ilvl w:val="0"/>
                <w:numId w:val="1"/>
              </w:numPr>
            </w:pPr>
            <w:r>
              <w:rPr>
                <w:rFonts w:eastAsia="Calibri"/>
                <w:sz w:val="18"/>
              </w:rPr>
              <w:t>AT&amp;T</w:t>
            </w:r>
          </w:p>
          <w:p w14:paraId="50F9733F" w14:textId="77777777" w:rsidR="00176F05" w:rsidRDefault="0097394D">
            <w:pPr>
              <w:keepLines/>
              <w:numPr>
                <w:ilvl w:val="0"/>
                <w:numId w:val="1"/>
              </w:numPr>
            </w:pPr>
            <w:r>
              <w:rPr>
                <w:rFonts w:eastAsia="Calibri"/>
                <w:sz w:val="18"/>
              </w:rPr>
              <w:t>Prama</w:t>
            </w:r>
          </w:p>
          <w:p w14:paraId="0CC71D91" w14:textId="77777777" w:rsidR="00176F05" w:rsidRDefault="0097394D">
            <w:pPr>
              <w:keepLines/>
              <w:numPr>
                <w:ilvl w:val="0"/>
                <w:numId w:val="1"/>
              </w:numPr>
            </w:pPr>
            <w:r>
              <w:rPr>
                <w:rFonts w:eastAsia="Calibri"/>
                <w:sz w:val="18"/>
              </w:rPr>
              <w:t>Mitsubishi Power Americas</w:t>
            </w:r>
          </w:p>
          <w:p w14:paraId="4DC609CF" w14:textId="77777777" w:rsidR="00176F05" w:rsidRDefault="0097394D">
            <w:pPr>
              <w:keepLines/>
              <w:numPr>
                <w:ilvl w:val="0"/>
                <w:numId w:val="1"/>
              </w:numPr>
            </w:pPr>
            <w:r>
              <w:rPr>
                <w:rFonts w:eastAsia="Calibri"/>
                <w:sz w:val="18"/>
              </w:rPr>
              <w:t>Dodge Construction Network</w:t>
            </w:r>
          </w:p>
        </w:tc>
        <w:tc>
          <w:tcPr>
            <w:tcW w:w="3120" w:type="dxa"/>
            <w:shd w:val="clear" w:color="auto" w:fill="F4F6F9"/>
            <w:tcMar>
              <w:top w:w="80" w:type="dxa"/>
              <w:left w:w="120" w:type="dxa"/>
              <w:bottom w:w="80" w:type="dxa"/>
              <w:right w:w="120" w:type="dxa"/>
            </w:tcMar>
            <w:vAlign w:val="center"/>
          </w:tcPr>
          <w:p w14:paraId="417324A3" w14:textId="77777777" w:rsidR="00176F05" w:rsidRDefault="0097394D">
            <w:pPr>
              <w:keepLines/>
              <w:numPr>
                <w:ilvl w:val="0"/>
                <w:numId w:val="1"/>
              </w:numPr>
            </w:pPr>
            <w:r>
              <w:rPr>
                <w:rFonts w:eastAsia="Calibri"/>
                <w:sz w:val="18"/>
              </w:rPr>
              <w:t>U.S. Navy</w:t>
            </w:r>
          </w:p>
          <w:p w14:paraId="79516444" w14:textId="77777777" w:rsidR="00176F05" w:rsidRDefault="0097394D">
            <w:pPr>
              <w:keepLines/>
              <w:numPr>
                <w:ilvl w:val="0"/>
                <w:numId w:val="1"/>
              </w:numPr>
            </w:pPr>
            <w:r>
              <w:rPr>
                <w:rFonts w:eastAsia="Calibri"/>
                <w:sz w:val="18"/>
              </w:rPr>
              <w:t>U.S. Air Force</w:t>
            </w:r>
          </w:p>
          <w:p w14:paraId="428089DA" w14:textId="77777777" w:rsidR="00176F05" w:rsidRDefault="0097394D">
            <w:pPr>
              <w:keepLines/>
              <w:numPr>
                <w:ilvl w:val="0"/>
                <w:numId w:val="1"/>
              </w:numPr>
            </w:pPr>
            <w:r>
              <w:rPr>
                <w:rFonts w:eastAsia="Calibri"/>
                <w:sz w:val="18"/>
              </w:rPr>
              <w:t>National Institutes of Health</w:t>
            </w:r>
          </w:p>
          <w:p w14:paraId="5835417E" w14:textId="77777777" w:rsidR="00176F05" w:rsidRDefault="0097394D">
            <w:pPr>
              <w:keepLines/>
              <w:numPr>
                <w:ilvl w:val="0"/>
                <w:numId w:val="1"/>
              </w:numPr>
            </w:pPr>
            <w:r>
              <w:rPr>
                <w:rFonts w:eastAsia="Calibri"/>
                <w:sz w:val="18"/>
              </w:rPr>
              <w:t>University of South Carolina</w:t>
            </w:r>
          </w:p>
          <w:p w14:paraId="0E1E5BB0" w14:textId="77777777" w:rsidR="00176F05" w:rsidRDefault="0097394D">
            <w:pPr>
              <w:keepLines/>
              <w:numPr>
                <w:ilvl w:val="0"/>
                <w:numId w:val="1"/>
              </w:numPr>
            </w:pPr>
            <w:r>
              <w:rPr>
                <w:rFonts w:eastAsia="Calibri"/>
                <w:sz w:val="18"/>
              </w:rPr>
              <w:t>Valencia College</w:t>
            </w:r>
          </w:p>
          <w:p w14:paraId="3DB02B68" w14:textId="77777777" w:rsidR="00176F05" w:rsidRDefault="0097394D">
            <w:pPr>
              <w:keepLines/>
              <w:numPr>
                <w:ilvl w:val="0"/>
                <w:numId w:val="1"/>
              </w:numPr>
            </w:pPr>
            <w:r>
              <w:rPr>
                <w:rFonts w:eastAsia="Calibri"/>
                <w:sz w:val="18"/>
              </w:rPr>
              <w:t>Orange County Public Schools</w:t>
            </w:r>
          </w:p>
          <w:p w14:paraId="2A7DFEAA" w14:textId="77777777" w:rsidR="00176F05" w:rsidRDefault="0097394D">
            <w:pPr>
              <w:keepLines/>
              <w:numPr>
                <w:ilvl w:val="0"/>
                <w:numId w:val="1"/>
              </w:numPr>
            </w:pPr>
            <w:r>
              <w:rPr>
                <w:rFonts w:eastAsia="Calibri"/>
                <w:sz w:val="18"/>
              </w:rPr>
              <w:t>My True Prosperity</w:t>
            </w:r>
          </w:p>
        </w:tc>
      </w:tr>
    </w:tbl>
    <w:p w14:paraId="06A45002" w14:textId="77777777" w:rsidR="00176F05" w:rsidRDefault="0097394D">
      <w:pPr>
        <w:pStyle w:val="TableCitationText"/>
      </w:pPr>
      <w:r>
        <w:rPr>
          <w:rFonts w:eastAsia="Calibri"/>
          <w:i/>
        </w:rPr>
        <w:t>Organizations are represented in the documented alumni record. The list is illustrative and does not represent every alumni employer.</w:t>
      </w:r>
    </w:p>
    <w:p w14:paraId="689E0184" w14:textId="77777777" w:rsidR="00176F05" w:rsidRDefault="0097394D">
      <w:pPr>
        <w:pStyle w:val="Heading2"/>
      </w:pPr>
      <w:r>
        <w:t>Independent Validation</w:t>
      </w:r>
    </w:p>
    <w:tbl>
      <w:tblPr>
        <w:tblW w:w="9360" w:type="dxa"/>
        <w:tblInd w:w="120" w:type="dxa"/>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Layout w:type="fixed"/>
        <w:tblLook w:val="04A0" w:firstRow="1" w:lastRow="0" w:firstColumn="1" w:lastColumn="0" w:noHBand="0" w:noVBand="1"/>
      </w:tblPr>
      <w:tblGrid>
        <w:gridCol w:w="4680"/>
        <w:gridCol w:w="4680"/>
      </w:tblGrid>
      <w:tr w:rsidR="00176F05" w14:paraId="2BE728BF" w14:textId="77777777">
        <w:tc>
          <w:tcPr>
            <w:tcW w:w="4680" w:type="dxa"/>
            <w:shd w:val="clear" w:color="auto" w:fill="FBF2D9"/>
            <w:tcMar>
              <w:top w:w="140" w:type="dxa"/>
              <w:left w:w="180" w:type="dxa"/>
              <w:bottom w:w="140" w:type="dxa"/>
              <w:right w:w="180" w:type="dxa"/>
            </w:tcMar>
            <w:vAlign w:val="center"/>
          </w:tcPr>
          <w:p w14:paraId="10AD05EA" w14:textId="77777777" w:rsidR="00176F05" w:rsidRDefault="0097394D">
            <w:pPr>
              <w:spacing w:after="100"/>
            </w:pPr>
            <w:r>
              <w:rPr>
                <w:rFonts w:eastAsia="Calibri"/>
                <w:b/>
                <w:color w:val="C69214"/>
                <w:sz w:val="17"/>
              </w:rPr>
              <w:t>NATIONAL INVEST PROGRAM | 2026</w:t>
            </w:r>
          </w:p>
          <w:p w14:paraId="58C89721" w14:textId="77777777" w:rsidR="00176F05" w:rsidRDefault="0097394D">
            <w:r>
              <w:rPr>
                <w:rFonts w:eastAsia="Calibri"/>
                <w:b/>
                <w:color w:val="17365D"/>
                <w:sz w:val="26"/>
              </w:rPr>
              <w:t>$10,000 IN SCHOLARSHIPS</w:t>
            </w:r>
          </w:p>
          <w:p w14:paraId="225AC4E0" w14:textId="77777777" w:rsidR="00176F05" w:rsidRDefault="0097394D">
            <w:pPr>
              <w:spacing w:after="0" w:line="259" w:lineRule="auto"/>
            </w:pPr>
            <w:r>
              <w:rPr>
                <w:rFonts w:eastAsia="Calibri"/>
                <w:sz w:val="19"/>
              </w:rPr>
              <w:t>Brady Graham and Sameer Shehrawat each received a $5,000 higher education scholarship for demonstrating commitment to the insurance industry. Both were recognized alongside their teachers. The educators named included Bill Daniel, Bright Minds' instructional consultant.</w:t>
            </w:r>
          </w:p>
        </w:tc>
        <w:tc>
          <w:tcPr>
            <w:tcW w:w="4680" w:type="dxa"/>
            <w:shd w:val="clear" w:color="auto" w:fill="EAF1F6"/>
            <w:tcMar>
              <w:top w:w="140" w:type="dxa"/>
              <w:left w:w="180" w:type="dxa"/>
              <w:bottom w:w="140" w:type="dxa"/>
              <w:right w:w="180" w:type="dxa"/>
            </w:tcMar>
            <w:vAlign w:val="center"/>
          </w:tcPr>
          <w:p w14:paraId="0F3F90D5" w14:textId="77777777" w:rsidR="00176F05" w:rsidRDefault="0097394D">
            <w:pPr>
              <w:spacing w:after="100"/>
            </w:pPr>
            <w:r>
              <w:rPr>
                <w:rFonts w:eastAsia="Calibri"/>
                <w:b/>
                <w:color w:val="2E74B5"/>
                <w:sz w:val="17"/>
              </w:rPr>
              <w:t>CIVIC LEADERSHIP | 2025</w:t>
            </w:r>
          </w:p>
          <w:p w14:paraId="14A3EB7C" w14:textId="77777777" w:rsidR="00176F05" w:rsidRDefault="0097394D">
            <w:r>
              <w:rPr>
                <w:rFonts w:eastAsia="Calibri"/>
                <w:b/>
                <w:color w:val="17365D"/>
                <w:sz w:val="26"/>
              </w:rPr>
              <w:t>SAMUEL GATHECA</w:t>
            </w:r>
          </w:p>
          <w:p w14:paraId="6F8DBF0C" w14:textId="77777777" w:rsidR="00176F05" w:rsidRDefault="0097394D">
            <w:pPr>
              <w:spacing w:after="0" w:line="259" w:lineRule="auto"/>
            </w:pPr>
            <w:r>
              <w:rPr>
                <w:rFonts w:eastAsia="Calibri"/>
                <w:sz w:val="19"/>
              </w:rPr>
              <w:t>The Bright Minds Class of 2020 alumnus received the Senator Vincent Hughes Young Men Making a Difference Award, a Pennsylvania state-level recognition for leadership and community service.</w:t>
            </w:r>
          </w:p>
        </w:tc>
      </w:tr>
    </w:tbl>
    <w:p w14:paraId="5E12E4C0" w14:textId="77777777" w:rsidR="00176F05" w:rsidRDefault="0097394D">
      <w:pPr>
        <w:pStyle w:val="TableCitationText"/>
      </w:pPr>
      <w:r>
        <w:rPr>
          <w:rFonts w:eastAsia="Calibri"/>
          <w:i/>
        </w:rPr>
        <w:t>These recognitions came from organizations with no formal affiliation with My True Prosperity. They provide independent evidence of alumni achievement and educator contribution.</w:t>
      </w:r>
    </w:p>
    <w:p w14:paraId="15DE90E4" w14:textId="77777777" w:rsidR="00176F05" w:rsidRDefault="0097394D">
      <w:r>
        <w:br w:type="page"/>
      </w:r>
    </w:p>
    <w:p w14:paraId="166926F7" w14:textId="77777777" w:rsidR="00176F05" w:rsidRDefault="0097394D">
      <w:r>
        <w:rPr>
          <w:rFonts w:eastAsia="Calibri"/>
          <w:b/>
          <w:caps/>
          <w:color w:val="C69214"/>
          <w:sz w:val="19"/>
        </w:rPr>
        <w:t>POSTSECONDARY PATHWAYS</w:t>
      </w:r>
    </w:p>
    <w:p w14:paraId="5B0884AE" w14:textId="77777777" w:rsidR="00176F05" w:rsidRDefault="0097394D">
      <w:pPr>
        <w:pStyle w:val="Heading1"/>
      </w:pPr>
      <w:r>
        <w:t>30+ Colleges and Universities</w:t>
      </w:r>
    </w:p>
    <w:p w14:paraId="70D6F4D4" w14:textId="77777777" w:rsidR="00176F05" w:rsidRDefault="0097394D">
      <w:pPr>
        <w:spacing w:after="200" w:line="288" w:lineRule="auto"/>
      </w:pPr>
      <w:r>
        <w:rPr>
          <w:rFonts w:eastAsia="Calibri"/>
          <w:b/>
          <w:color w:val="17365D"/>
        </w:rPr>
        <w:t>The documented alumni record includes institutions across Central Florida, throughout the state, and across the country.</w:t>
      </w:r>
    </w:p>
    <w:p w14:paraId="017B5F42" w14:textId="77777777" w:rsidR="00176F05" w:rsidRDefault="0097394D">
      <w:pPr>
        <w:pStyle w:val="Heading2"/>
      </w:pPr>
      <w:r>
        <w:t>Central Florida and Statewide Institutions</w:t>
      </w:r>
    </w:p>
    <w:p w14:paraId="75020C5D" w14:textId="77777777" w:rsidR="00176F05" w:rsidRDefault="0097394D">
      <w:r>
        <w:rPr>
          <w:rFonts w:eastAsia="Calibri"/>
        </w:rPr>
        <w:t>University of Central Florida; Valencia College; University of Florida; Florida State University; University of South Florida; Florida A&amp;M University; Seminole State College of Florida; Florida Polytechnic University; Flagler College; Stetson University; Florida Atlantic University; University of North Florida; Daytona State College; and Saint Leo University.</w:t>
      </w:r>
    </w:p>
    <w:p w14:paraId="6AA13E20" w14:textId="77777777" w:rsidR="00176F05" w:rsidRDefault="0097394D">
      <w:pPr>
        <w:pStyle w:val="Heading2"/>
      </w:pPr>
      <w:r>
        <w:t>National and Regional Institutions</w:t>
      </w:r>
    </w:p>
    <w:p w14:paraId="46D93E0C" w14:textId="77777777" w:rsidR="00176F05" w:rsidRDefault="0097394D">
      <w:r>
        <w:rPr>
          <w:rFonts w:eastAsia="Calibri"/>
        </w:rPr>
        <w:t>Vanderbilt University; Duke University; Johns Hopkins University; Stanford University; University of California, Berkeley; Georgetown University; Emory University; Wake Forest University; Wesleyan University; Purdue University; Georgia State University; Temple University; Northeastern University; Alabama State University; Milwaukee Institute of Art and Design; and the University of Arkansas.</w:t>
      </w:r>
    </w:p>
    <w:p w14:paraId="172E25D5" w14:textId="77777777" w:rsidR="00176F05" w:rsidRDefault="0097394D">
      <w:pPr>
        <w:keepLines/>
        <w:pBdr>
          <w:left w:val="single" w:sz="18" w:space="8" w:color="C69214"/>
        </w:pBdr>
        <w:shd w:val="clear" w:color="auto" w:fill="EAF1F6"/>
        <w:spacing w:before="160" w:after="200" w:line="276" w:lineRule="auto"/>
        <w:ind w:left="202" w:right="115"/>
      </w:pPr>
      <w:r>
        <w:rPr>
          <w:rFonts w:eastAsia="Calibri"/>
          <w:b/>
          <w:color w:val="C69214"/>
          <w:sz w:val="19"/>
        </w:rPr>
        <w:t xml:space="preserve">HOW TO READ THIS LIST  </w:t>
      </w:r>
      <w:r>
        <w:rPr>
          <w:rFonts w:eastAsia="Calibri"/>
          <w:sz w:val="21"/>
        </w:rPr>
        <w:t>The institutions reflect documented alumni only. Some alumni attended more than one institution, and the full range across ten cohort years is broader.</w:t>
      </w:r>
    </w:p>
    <w:p w14:paraId="606E1D31" w14:textId="77777777" w:rsidR="00176F05" w:rsidRDefault="0097394D">
      <w:pPr>
        <w:pStyle w:val="Heading2"/>
      </w:pPr>
      <w:r>
        <w:t>Breadth of Pathways</w:t>
      </w:r>
    </w:p>
    <w:p w14:paraId="7B62BF35" w14:textId="77777777" w:rsidR="00176F05" w:rsidRDefault="0097394D">
      <w:pPr>
        <w:keepLines/>
        <w:numPr>
          <w:ilvl w:val="0"/>
          <w:numId w:val="1"/>
        </w:numPr>
      </w:pPr>
      <w:r>
        <w:rPr>
          <w:rFonts w:eastAsia="Calibri"/>
          <w:sz w:val="21"/>
        </w:rPr>
        <w:t>Local access through community and state colleges</w:t>
      </w:r>
    </w:p>
    <w:p w14:paraId="164E4F5D" w14:textId="77777777" w:rsidR="00176F05" w:rsidRDefault="0097394D">
      <w:pPr>
        <w:keepLines/>
        <w:numPr>
          <w:ilvl w:val="0"/>
          <w:numId w:val="1"/>
        </w:numPr>
      </w:pPr>
      <w:r>
        <w:rPr>
          <w:rFonts w:eastAsia="Calibri"/>
          <w:sz w:val="21"/>
        </w:rPr>
        <w:t>Public university pathways across Florida</w:t>
      </w:r>
    </w:p>
    <w:p w14:paraId="5547670B" w14:textId="77777777" w:rsidR="00176F05" w:rsidRDefault="0097394D">
      <w:pPr>
        <w:keepLines/>
        <w:numPr>
          <w:ilvl w:val="0"/>
          <w:numId w:val="1"/>
        </w:numPr>
      </w:pPr>
      <w:r>
        <w:rPr>
          <w:rFonts w:eastAsia="Calibri"/>
          <w:sz w:val="21"/>
        </w:rPr>
        <w:t>Highly selective private and public institutions</w:t>
      </w:r>
    </w:p>
    <w:p w14:paraId="2F48FD0B" w14:textId="77777777" w:rsidR="00176F05" w:rsidRDefault="0097394D">
      <w:pPr>
        <w:keepLines/>
        <w:numPr>
          <w:ilvl w:val="0"/>
          <w:numId w:val="1"/>
        </w:numPr>
      </w:pPr>
      <w:r>
        <w:rPr>
          <w:rFonts w:eastAsia="Calibri"/>
          <w:sz w:val="21"/>
        </w:rPr>
        <w:t>Undergraduate, graduate, and professional education</w:t>
      </w:r>
    </w:p>
    <w:p w14:paraId="1E2065FD" w14:textId="77777777" w:rsidR="00176F05" w:rsidRDefault="0097394D">
      <w:pPr>
        <w:keepLines/>
        <w:numPr>
          <w:ilvl w:val="0"/>
          <w:numId w:val="1"/>
        </w:numPr>
      </w:pPr>
      <w:r>
        <w:rPr>
          <w:rFonts w:eastAsia="Calibri"/>
          <w:sz w:val="21"/>
        </w:rPr>
        <w:t>Fields ranging from finance and computing to education, health, research, and the arts</w:t>
      </w:r>
    </w:p>
    <w:p w14:paraId="5BF57054" w14:textId="77777777" w:rsidR="00176F05" w:rsidRDefault="0097394D">
      <w:r>
        <w:rPr>
          <w:rFonts w:eastAsia="Calibri"/>
        </w:rPr>
        <w:t>This range matters because economic advancement does not follow a single educational route. The current alumni record includes direct-to-work pathways, two-year and four-year institutions, graduate education, military service, and entrepreneurship.</w:t>
      </w:r>
    </w:p>
    <w:p w14:paraId="71E3230D" w14:textId="77777777" w:rsidR="00176F05" w:rsidRDefault="0097394D">
      <w:r>
        <w:br w:type="page"/>
      </w:r>
    </w:p>
    <w:p w14:paraId="31C49013" w14:textId="77777777" w:rsidR="00176F05" w:rsidRDefault="0097394D">
      <w:r>
        <w:rPr>
          <w:rFonts w:eastAsia="Calibri"/>
          <w:b/>
          <w:caps/>
          <w:color w:val="C69214"/>
          <w:sz w:val="19"/>
        </w:rPr>
        <w:t>SELECTED ALUMNI SPOTLIGHTS</w:t>
      </w:r>
    </w:p>
    <w:p w14:paraId="5CD80789" w14:textId="77777777" w:rsidR="00176F05" w:rsidRDefault="0097394D">
      <w:pPr>
        <w:pStyle w:val="Heading1"/>
      </w:pPr>
      <w:r>
        <w:t>Finance, Technology, and Research</w:t>
      </w:r>
    </w:p>
    <w:p w14:paraId="66A5FC6B" w14:textId="77777777" w:rsidR="00176F05" w:rsidRDefault="0097394D">
      <w:pPr>
        <w:spacing w:after="200" w:line="288" w:lineRule="auto"/>
      </w:pPr>
      <w:r>
        <w:rPr>
          <w:rFonts w:eastAsia="Calibri"/>
          <w:b/>
          <w:color w:val="17365D"/>
        </w:rPr>
        <w:t>The profiles below are documented examples, selected to show the range of trajectories represented in the alumni record.</w:t>
      </w:r>
    </w:p>
    <w:p w14:paraId="08D1730F" w14:textId="77777777" w:rsidR="00176F05" w:rsidRDefault="0097394D">
      <w:pPr>
        <w:keepNext/>
        <w:keepLines/>
        <w:pBdr>
          <w:left w:val="single" w:sz="18" w:space="8" w:color="C69214"/>
        </w:pBdr>
        <w:shd w:val="clear" w:color="auto" w:fill="EAF1F6"/>
        <w:spacing w:before="140" w:after="20"/>
        <w:ind w:left="216" w:right="86"/>
      </w:pPr>
      <w:r>
        <w:rPr>
          <w:rFonts w:eastAsia="Calibri"/>
          <w:b/>
          <w:color w:val="17365D"/>
          <w:sz w:val="26"/>
        </w:rPr>
        <w:t>Brian Kelly</w:t>
      </w:r>
    </w:p>
    <w:p w14:paraId="6637C649" w14:textId="77777777" w:rsidR="00176F05" w:rsidRDefault="0097394D">
      <w:pPr>
        <w:keepNext/>
        <w:keepLines/>
        <w:pBdr>
          <w:left w:val="single" w:sz="18" w:space="8" w:color="C69214"/>
        </w:pBdr>
        <w:shd w:val="clear" w:color="auto" w:fill="EAF1F6"/>
        <w:spacing w:after="60"/>
        <w:ind w:left="216" w:right="86"/>
      </w:pPr>
      <w:r>
        <w:rPr>
          <w:rFonts w:eastAsia="Calibri"/>
          <w:b/>
          <w:color w:val="617180"/>
          <w:sz w:val="17"/>
        </w:rPr>
        <w:t>BRIGHT MINDS CLASS OF 2019  |  FINANCE AND INVESTMENT BANKING</w:t>
      </w:r>
    </w:p>
    <w:p w14:paraId="04BED56F" w14:textId="77777777" w:rsidR="00176F05" w:rsidRDefault="0097394D">
      <w:pPr>
        <w:keepLines/>
        <w:pBdr>
          <w:left w:val="single" w:sz="18" w:space="8" w:color="C69214"/>
        </w:pBdr>
        <w:shd w:val="clear" w:color="auto" w:fill="EAF1F6"/>
        <w:spacing w:after="160" w:line="269" w:lineRule="auto"/>
        <w:ind w:left="216" w:right="86"/>
      </w:pPr>
      <w:r>
        <w:rPr>
          <w:rFonts w:eastAsia="Calibri"/>
          <w:sz w:val="20"/>
        </w:rPr>
        <w:t>Brian completed a B.S. in Finance and an M.S. in Information Systems at the University of Florida. He later joined Harbor View Advisors as an Investment Banking Analyst. During the 2026 alumni outreach effort, Brian identified Bright Minds as one of the formative experiences that influenced his professional development and offered to support the program going forward.</w:t>
      </w:r>
    </w:p>
    <w:p w14:paraId="280EC0EB" w14:textId="77777777" w:rsidR="00176F05" w:rsidRDefault="0097394D">
      <w:pPr>
        <w:keepNext/>
        <w:keepLines/>
        <w:pBdr>
          <w:left w:val="single" w:sz="18" w:space="8" w:color="C69214"/>
        </w:pBdr>
        <w:shd w:val="clear" w:color="auto" w:fill="EAF1F6"/>
        <w:spacing w:before="140" w:after="20"/>
        <w:ind w:left="216" w:right="86"/>
      </w:pPr>
      <w:r>
        <w:rPr>
          <w:rFonts w:eastAsia="Calibri"/>
          <w:b/>
          <w:color w:val="17365D"/>
          <w:sz w:val="26"/>
        </w:rPr>
        <w:t>Xiomara Montes Gil</w:t>
      </w:r>
    </w:p>
    <w:p w14:paraId="590BB6AF" w14:textId="77777777" w:rsidR="00176F05" w:rsidRDefault="0097394D">
      <w:pPr>
        <w:keepNext/>
        <w:keepLines/>
        <w:pBdr>
          <w:left w:val="single" w:sz="18" w:space="8" w:color="C69214"/>
        </w:pBdr>
        <w:shd w:val="clear" w:color="auto" w:fill="EAF1F6"/>
        <w:spacing w:after="60"/>
        <w:ind w:left="216" w:right="86"/>
      </w:pPr>
      <w:r>
        <w:rPr>
          <w:rFonts w:eastAsia="Calibri"/>
          <w:b/>
          <w:color w:val="617180"/>
          <w:sz w:val="17"/>
        </w:rPr>
        <w:t>BRIGHT MINDS CLASS OF 2018  |  BANKING AND FINANCIAL SERVICES</w:t>
      </w:r>
    </w:p>
    <w:p w14:paraId="316C4412" w14:textId="77777777" w:rsidR="00176F05" w:rsidRDefault="0097394D">
      <w:pPr>
        <w:keepLines/>
        <w:pBdr>
          <w:left w:val="single" w:sz="18" w:space="8" w:color="C69214"/>
        </w:pBdr>
        <w:shd w:val="clear" w:color="auto" w:fill="EAF1F6"/>
        <w:spacing w:after="160" w:line="269" w:lineRule="auto"/>
        <w:ind w:left="216" w:right="86"/>
      </w:pPr>
      <w:r>
        <w:rPr>
          <w:rFonts w:eastAsia="Calibri"/>
          <w:sz w:val="20"/>
        </w:rPr>
        <w:t>Xiomara participated in the first full Bright Minds cohort in 2018 and later joined J.P. Morgan Chase in New York City. She has credited Bright Minds with increasing her exposure to the financial industry and contributing to her continued interest in financial knowledge and professional advancement.</w:t>
      </w:r>
    </w:p>
    <w:p w14:paraId="217C40FB" w14:textId="77777777" w:rsidR="00176F05" w:rsidRDefault="0097394D">
      <w:pPr>
        <w:keepNext/>
        <w:keepLines/>
        <w:pBdr>
          <w:left w:val="single" w:sz="18" w:space="8" w:color="C69214"/>
        </w:pBdr>
        <w:shd w:val="clear" w:color="auto" w:fill="EAF1F6"/>
        <w:spacing w:before="140" w:after="20"/>
        <w:ind w:left="216" w:right="86"/>
      </w:pPr>
      <w:r>
        <w:rPr>
          <w:rFonts w:eastAsia="Calibri"/>
          <w:b/>
          <w:color w:val="17365D"/>
          <w:sz w:val="26"/>
        </w:rPr>
        <w:t>Jaleel Rogers</w:t>
      </w:r>
    </w:p>
    <w:p w14:paraId="36D599E0" w14:textId="77777777" w:rsidR="00176F05" w:rsidRDefault="0097394D">
      <w:pPr>
        <w:keepNext/>
        <w:keepLines/>
        <w:pBdr>
          <w:left w:val="single" w:sz="18" w:space="8" w:color="C69214"/>
        </w:pBdr>
        <w:shd w:val="clear" w:color="auto" w:fill="EAF1F6"/>
        <w:spacing w:after="60"/>
        <w:ind w:left="216" w:right="86"/>
      </w:pPr>
      <w:r>
        <w:rPr>
          <w:rFonts w:eastAsia="Calibri"/>
          <w:b/>
          <w:color w:val="617180"/>
          <w:sz w:val="17"/>
        </w:rPr>
        <w:t>BRIGHT MINDS CLASS OF 2020  |  TECHNOLOGY AND DEFENSE</w:t>
      </w:r>
    </w:p>
    <w:p w14:paraId="3B7D0529" w14:textId="77777777" w:rsidR="00176F05" w:rsidRDefault="0097394D">
      <w:pPr>
        <w:keepLines/>
        <w:pBdr>
          <w:left w:val="single" w:sz="18" w:space="8" w:color="C69214"/>
        </w:pBdr>
        <w:shd w:val="clear" w:color="auto" w:fill="EAF1F6"/>
        <w:spacing w:after="160" w:line="269" w:lineRule="auto"/>
        <w:ind w:left="216" w:right="86"/>
      </w:pPr>
      <w:r>
        <w:rPr>
          <w:rFonts w:eastAsia="Calibri"/>
          <w:sz w:val="20"/>
        </w:rPr>
        <w:t>Jaleel earned a B.S. in Computer Science from Florida Polytechnic University. He completed an internship with Lockheed Martin and later moved into a full-time Systems Administrator role with the company. His professional work has included information technology support connected to military operations.</w:t>
      </w:r>
    </w:p>
    <w:p w14:paraId="463BC71E" w14:textId="77777777" w:rsidR="00176F05" w:rsidRDefault="0097394D">
      <w:r>
        <w:br w:type="page"/>
      </w:r>
    </w:p>
    <w:p w14:paraId="7E529FD6" w14:textId="77777777" w:rsidR="00176F05" w:rsidRDefault="0097394D">
      <w:r>
        <w:rPr>
          <w:rFonts w:eastAsia="Calibri"/>
          <w:b/>
          <w:caps/>
          <w:color w:val="C69214"/>
          <w:sz w:val="19"/>
        </w:rPr>
        <w:t>SELECTED ALUMNI SPOTLIGHTS</w:t>
      </w:r>
    </w:p>
    <w:p w14:paraId="42CAE20F" w14:textId="77777777" w:rsidR="00176F05" w:rsidRDefault="0097394D">
      <w:pPr>
        <w:pStyle w:val="Heading1"/>
      </w:pPr>
      <w:r>
        <w:t>Research, Entrepreneurship, and Alumni Leadership</w:t>
      </w:r>
    </w:p>
    <w:p w14:paraId="7C4F231A" w14:textId="77777777" w:rsidR="00176F05" w:rsidRDefault="0097394D">
      <w:pPr>
        <w:keepNext/>
        <w:keepLines/>
        <w:pBdr>
          <w:left w:val="single" w:sz="18" w:space="8" w:color="C69214"/>
        </w:pBdr>
        <w:shd w:val="clear" w:color="auto" w:fill="EAF1F6"/>
        <w:spacing w:before="140" w:after="20"/>
        <w:ind w:left="216" w:right="86"/>
      </w:pPr>
      <w:r>
        <w:rPr>
          <w:rFonts w:eastAsia="Calibri"/>
          <w:b/>
          <w:color w:val="17365D"/>
          <w:sz w:val="26"/>
        </w:rPr>
        <w:t>Ralph Francois</w:t>
      </w:r>
    </w:p>
    <w:p w14:paraId="03028B7E" w14:textId="77777777" w:rsidR="00176F05" w:rsidRDefault="0097394D">
      <w:pPr>
        <w:keepNext/>
        <w:keepLines/>
        <w:pBdr>
          <w:left w:val="single" w:sz="18" w:space="8" w:color="C69214"/>
        </w:pBdr>
        <w:shd w:val="clear" w:color="auto" w:fill="EAF1F6"/>
        <w:spacing w:after="60"/>
        <w:ind w:left="216" w:right="86"/>
      </w:pPr>
      <w:r>
        <w:rPr>
          <w:rFonts w:eastAsia="Calibri"/>
          <w:b/>
          <w:color w:val="617180"/>
          <w:sz w:val="17"/>
        </w:rPr>
        <w:t>BRIGHT MINDS CLASS OF 2021  |  RESEARCH AND COMMUNITY HEALTH</w:t>
      </w:r>
    </w:p>
    <w:p w14:paraId="13AE1BBF" w14:textId="77777777" w:rsidR="00176F05" w:rsidRDefault="0097394D">
      <w:pPr>
        <w:keepLines/>
        <w:pBdr>
          <w:left w:val="single" w:sz="18" w:space="8" w:color="C69214"/>
        </w:pBdr>
        <w:shd w:val="clear" w:color="auto" w:fill="EAF1F6"/>
        <w:spacing w:after="160" w:line="269" w:lineRule="auto"/>
        <w:ind w:left="216" w:right="86"/>
      </w:pPr>
      <w:r>
        <w:rPr>
          <w:rFonts w:eastAsia="Calibri"/>
          <w:sz w:val="20"/>
        </w:rPr>
        <w:t>Ralph graduated from Vanderbilt University in 2025 with concentrations in Medicine, Health and Society, and Psychology, along with a minor in Data Science. He later became a Research Project Coordinator at the University of South Carolina. Ralph has credited Bright Minds with helping him develop professional communication and relationship-building skills that he carried into college.</w:t>
      </w:r>
    </w:p>
    <w:p w14:paraId="196B1FFF" w14:textId="77777777" w:rsidR="00176F05" w:rsidRDefault="0097394D">
      <w:pPr>
        <w:keepNext/>
        <w:keepLines/>
        <w:pBdr>
          <w:left w:val="single" w:sz="18" w:space="8" w:color="C69214"/>
        </w:pBdr>
        <w:shd w:val="clear" w:color="auto" w:fill="EAF1F6"/>
        <w:spacing w:before="140" w:after="20"/>
        <w:ind w:left="216" w:right="86"/>
      </w:pPr>
      <w:r>
        <w:rPr>
          <w:rFonts w:eastAsia="Calibri"/>
          <w:b/>
          <w:color w:val="17365D"/>
          <w:sz w:val="26"/>
        </w:rPr>
        <w:t>Maxwell Meyer</w:t>
      </w:r>
    </w:p>
    <w:p w14:paraId="3DB72732" w14:textId="77777777" w:rsidR="00176F05" w:rsidRDefault="0097394D">
      <w:pPr>
        <w:keepNext/>
        <w:keepLines/>
        <w:pBdr>
          <w:left w:val="single" w:sz="18" w:space="8" w:color="C69214"/>
        </w:pBdr>
        <w:shd w:val="clear" w:color="auto" w:fill="EAF1F6"/>
        <w:spacing w:after="60"/>
        <w:ind w:left="216" w:right="86"/>
      </w:pPr>
      <w:r>
        <w:rPr>
          <w:rFonts w:eastAsia="Calibri"/>
          <w:b/>
          <w:color w:val="617180"/>
          <w:sz w:val="17"/>
        </w:rPr>
        <w:t>BRIGHT MINDS CLASS OF 2023  |  TECHNOLOGY ENTREPRENEURSHIP</w:t>
      </w:r>
    </w:p>
    <w:p w14:paraId="36676D6D" w14:textId="77777777" w:rsidR="00176F05" w:rsidRDefault="0097394D">
      <w:pPr>
        <w:keepLines/>
        <w:pBdr>
          <w:left w:val="single" w:sz="18" w:space="8" w:color="C69214"/>
        </w:pBdr>
        <w:shd w:val="clear" w:color="auto" w:fill="EAF1F6"/>
        <w:spacing w:after="160" w:line="269" w:lineRule="auto"/>
        <w:ind w:left="216" w:right="86"/>
      </w:pPr>
      <w:r>
        <w:rPr>
          <w:rFonts w:eastAsia="Calibri"/>
          <w:sz w:val="20"/>
        </w:rPr>
        <w:t>Maxwell co-founded Prama, an artificial intelligence company accepted into Y Combinator. His experience provides one documented example of an alumnus moving into entrepreneurship after Bright Minds. The current record does not support calculation of a program-wide entrepreneurship rate.</w:t>
      </w:r>
    </w:p>
    <w:p w14:paraId="38DDB448" w14:textId="77777777" w:rsidR="00176F05" w:rsidRDefault="0097394D">
      <w:pPr>
        <w:keepNext/>
        <w:keepLines/>
        <w:pBdr>
          <w:left w:val="single" w:sz="18" w:space="8" w:color="C69214"/>
        </w:pBdr>
        <w:shd w:val="clear" w:color="auto" w:fill="EAF1F6"/>
        <w:spacing w:before="140" w:after="20"/>
        <w:ind w:left="216" w:right="86"/>
      </w:pPr>
      <w:r>
        <w:rPr>
          <w:rFonts w:eastAsia="Calibri"/>
          <w:b/>
          <w:color w:val="17365D"/>
          <w:sz w:val="26"/>
        </w:rPr>
        <w:t>Claudia Navarro</w:t>
      </w:r>
    </w:p>
    <w:p w14:paraId="2C5A0526" w14:textId="77777777" w:rsidR="00176F05" w:rsidRDefault="0097394D">
      <w:pPr>
        <w:keepNext/>
        <w:keepLines/>
        <w:pBdr>
          <w:left w:val="single" w:sz="18" w:space="8" w:color="C69214"/>
        </w:pBdr>
        <w:shd w:val="clear" w:color="auto" w:fill="EAF1F6"/>
        <w:spacing w:after="60"/>
        <w:ind w:left="216" w:right="86"/>
      </w:pPr>
      <w:r>
        <w:rPr>
          <w:rFonts w:eastAsia="Calibri"/>
          <w:b/>
          <w:color w:val="617180"/>
          <w:sz w:val="17"/>
        </w:rPr>
        <w:t>BRIGHT MINDS CLASS OF 2021  |  OPERATIONS AND ALUMNI LEADERSHIP</w:t>
      </w:r>
    </w:p>
    <w:p w14:paraId="1484583A" w14:textId="77777777" w:rsidR="00176F05" w:rsidRDefault="0097394D">
      <w:pPr>
        <w:keepLines/>
        <w:pBdr>
          <w:left w:val="single" w:sz="18" w:space="8" w:color="C69214"/>
        </w:pBdr>
        <w:shd w:val="clear" w:color="auto" w:fill="EAF1F6"/>
        <w:spacing w:after="160" w:line="269" w:lineRule="auto"/>
        <w:ind w:left="216" w:right="86"/>
      </w:pPr>
      <w:r>
        <w:rPr>
          <w:rFonts w:eastAsia="Calibri"/>
          <w:sz w:val="20"/>
        </w:rPr>
        <w:t>Claudia participated in Bright Minds in 2021 and later returned to My True Prosperity. She moved into an operational role supporting program logistics and partner communications while continuing her education. Her progression from participant to staff is one example of the program's developing alumni leadership pipeline.</w:t>
      </w:r>
    </w:p>
    <w:p w14:paraId="34395F3F" w14:textId="77777777" w:rsidR="00176F05" w:rsidRDefault="0097394D">
      <w:pPr>
        <w:keepLines/>
        <w:pBdr>
          <w:left w:val="single" w:sz="18" w:space="8" w:color="C69214"/>
        </w:pBdr>
        <w:shd w:val="clear" w:color="auto" w:fill="EAF1F6"/>
        <w:spacing w:before="160" w:after="200" w:line="276" w:lineRule="auto"/>
        <w:ind w:left="202" w:right="115"/>
      </w:pPr>
      <w:r>
        <w:rPr>
          <w:rFonts w:eastAsia="Calibri"/>
          <w:b/>
          <w:color w:val="C69214"/>
          <w:sz w:val="19"/>
        </w:rPr>
        <w:t xml:space="preserve">SELECTION NOTE  </w:t>
      </w:r>
      <w:r>
        <w:rPr>
          <w:rFonts w:eastAsia="Calibri"/>
          <w:sz w:val="21"/>
        </w:rPr>
        <w:t>These six profiles were chosen for breadth. Additional documented alumni have entered education, aviation, military service, accounting, engineering, technology, and other fields.</w:t>
      </w:r>
    </w:p>
    <w:p w14:paraId="1807B3E1" w14:textId="77777777" w:rsidR="00176F05" w:rsidRDefault="0097394D">
      <w:pPr>
        <w:pStyle w:val="Heading2"/>
      </w:pPr>
      <w:r>
        <w:t>Additional Documented Pathways</w:t>
      </w:r>
    </w:p>
    <w:p w14:paraId="7A8C76DB" w14:textId="77777777" w:rsidR="00176F05" w:rsidRDefault="0097394D">
      <w:pPr>
        <w:keepLines/>
        <w:numPr>
          <w:ilvl w:val="0"/>
          <w:numId w:val="1"/>
        </w:numPr>
      </w:pPr>
      <w:r>
        <w:rPr>
          <w:rFonts w:eastAsia="Calibri"/>
          <w:sz w:val="19"/>
        </w:rPr>
        <w:t>Linda Fong completed an M.S. in Finance at Florida State University and entered financial services as a Financial Analyst at FIS.</w:t>
      </w:r>
    </w:p>
    <w:p w14:paraId="79B8B1A2" w14:textId="77777777" w:rsidR="00176F05" w:rsidRDefault="0097394D">
      <w:pPr>
        <w:keepLines/>
        <w:numPr>
          <w:ilvl w:val="0"/>
          <w:numId w:val="1"/>
        </w:numPr>
      </w:pPr>
      <w:r>
        <w:rPr>
          <w:rFonts w:eastAsia="Calibri"/>
          <w:sz w:val="19"/>
        </w:rPr>
        <w:t>Lola E. Jean Baptiste pursued Computer Engineering at Johns Hopkins University and completed multiple Amazon Web Services internships.</w:t>
      </w:r>
    </w:p>
    <w:p w14:paraId="3D837A47" w14:textId="77777777" w:rsidR="00176F05" w:rsidRDefault="0097394D">
      <w:pPr>
        <w:keepLines/>
        <w:numPr>
          <w:ilvl w:val="0"/>
          <w:numId w:val="1"/>
        </w:numPr>
      </w:pPr>
      <w:r>
        <w:rPr>
          <w:rFonts w:eastAsia="Calibri"/>
          <w:sz w:val="19"/>
        </w:rPr>
        <w:t>Araseli Portillo is working while pursuing a private pilot license and has credited Bright Minds with strengthening her confidence, initiative, and professionalism.</w:t>
      </w:r>
    </w:p>
    <w:p w14:paraId="77F6DB51" w14:textId="77777777" w:rsidR="00176F05" w:rsidRDefault="0097394D">
      <w:pPr>
        <w:keepLines/>
        <w:numPr>
          <w:ilvl w:val="0"/>
          <w:numId w:val="1"/>
        </w:numPr>
      </w:pPr>
      <w:r>
        <w:rPr>
          <w:rFonts w:eastAsia="Calibri"/>
          <w:sz w:val="19"/>
        </w:rPr>
        <w:t>Gabriella Brathwaite completed a B.S. in Special Education, continued into graduate study at Florida State University, and entered education.</w:t>
      </w:r>
    </w:p>
    <w:p w14:paraId="5448B759" w14:textId="77777777" w:rsidR="00176F05" w:rsidRDefault="0097394D">
      <w:r>
        <w:br w:type="page"/>
      </w:r>
    </w:p>
    <w:p w14:paraId="04AEB42B" w14:textId="77777777" w:rsidR="00176F05" w:rsidRDefault="0097394D">
      <w:r>
        <w:rPr>
          <w:rFonts w:eastAsia="Calibri"/>
          <w:b/>
          <w:caps/>
          <w:color w:val="C69214"/>
          <w:sz w:val="19"/>
        </w:rPr>
        <w:t>ALUMNI PERSPECTIVES</w:t>
      </w:r>
    </w:p>
    <w:p w14:paraId="3D427923" w14:textId="77777777" w:rsidR="00176F05" w:rsidRDefault="0097394D">
      <w:pPr>
        <w:pStyle w:val="Heading1"/>
      </w:pPr>
      <w:r>
        <w:t>What Former Participants Say</w:t>
      </w:r>
    </w:p>
    <w:p w14:paraId="3A2E114D" w14:textId="77777777" w:rsidR="00176F05" w:rsidRDefault="0097394D">
      <w:pPr>
        <w:spacing w:after="200" w:line="288" w:lineRule="auto"/>
      </w:pPr>
      <w:r>
        <w:rPr>
          <w:rFonts w:eastAsia="Calibri"/>
          <w:b/>
          <w:color w:val="17365D"/>
        </w:rPr>
        <w:t>Alumni outreach provides qualitative context for the documented education and employment record.</w:t>
      </w:r>
    </w:p>
    <w:p w14:paraId="145A8BCB" w14:textId="77777777" w:rsidR="00176F05" w:rsidRDefault="0097394D">
      <w:pPr>
        <w:keepLines/>
        <w:pBdr>
          <w:left w:val="single" w:sz="16" w:space="8" w:color="C69214"/>
        </w:pBdr>
        <w:shd w:val="clear" w:color="auto" w:fill="FBF2D9"/>
        <w:spacing w:before="120" w:line="269" w:lineRule="auto"/>
        <w:ind w:left="230" w:right="115"/>
      </w:pPr>
      <w:r>
        <w:rPr>
          <w:rFonts w:eastAsia="Calibri"/>
          <w:i/>
          <w:sz w:val="21"/>
        </w:rPr>
        <w:t>"The Bright Minds program allowed me to consider other people first and how to present myself. When I entered college, I knew how to kickstart positive relationships with my professors and mentors from the lessons I learned."</w:t>
      </w:r>
      <w:r>
        <w:rPr>
          <w:rFonts w:eastAsia="Calibri"/>
          <w:b/>
          <w:color w:val="617180"/>
          <w:sz w:val="18"/>
        </w:rPr>
        <w:br/>
        <w:t>Ralph Francois  |  Class of 2021  |  Vanderbilt University and University of South Carolina</w:t>
      </w:r>
    </w:p>
    <w:p w14:paraId="70B1B5E6" w14:textId="77777777" w:rsidR="00176F05" w:rsidRDefault="0097394D">
      <w:pPr>
        <w:keepLines/>
        <w:pBdr>
          <w:left w:val="single" w:sz="16" w:space="8" w:color="2E74B5"/>
        </w:pBdr>
        <w:shd w:val="clear" w:color="auto" w:fill="EAF1F6"/>
        <w:spacing w:before="120" w:line="269" w:lineRule="auto"/>
        <w:ind w:left="230" w:right="115"/>
      </w:pPr>
      <w:r>
        <w:rPr>
          <w:rFonts w:eastAsia="Calibri"/>
          <w:i/>
          <w:sz w:val="21"/>
        </w:rPr>
        <w:t>"I was able to leverage Bright Minds to secure other internships."</w:t>
      </w:r>
      <w:r>
        <w:rPr>
          <w:rFonts w:eastAsia="Calibri"/>
          <w:b/>
          <w:color w:val="617180"/>
          <w:sz w:val="18"/>
        </w:rPr>
        <w:br/>
        <w:t>Sivan Reddy Pushpagiri  |  Class of 2022  |  University of Florida and Microsoft intern</w:t>
      </w:r>
    </w:p>
    <w:p w14:paraId="6C9C1982" w14:textId="77777777" w:rsidR="00176F05" w:rsidRDefault="0097394D">
      <w:pPr>
        <w:keepLines/>
        <w:pBdr>
          <w:left w:val="single" w:sz="16" w:space="8" w:color="C69214"/>
        </w:pBdr>
        <w:shd w:val="clear" w:color="auto" w:fill="FBF2D9"/>
        <w:spacing w:before="120" w:line="269" w:lineRule="auto"/>
        <w:ind w:left="230" w:right="115"/>
      </w:pPr>
      <w:r>
        <w:rPr>
          <w:rFonts w:eastAsia="Calibri"/>
          <w:i/>
          <w:sz w:val="21"/>
        </w:rPr>
        <w:t>"A large part of my acceptance to the role came from my background in the Bright Minds internship as it gave me valuable experience in hybrid environments and creating professional resumes and cover letters."</w:t>
      </w:r>
      <w:r>
        <w:rPr>
          <w:rFonts w:eastAsia="Calibri"/>
          <w:b/>
          <w:color w:val="617180"/>
          <w:sz w:val="18"/>
        </w:rPr>
        <w:br/>
        <w:t>Joslyn Randazzo  |  Class of 2021  |  Technical Support Specialist, Valencia College</w:t>
      </w:r>
    </w:p>
    <w:p w14:paraId="3B8B923A" w14:textId="77777777" w:rsidR="00176F05" w:rsidRDefault="0097394D">
      <w:pPr>
        <w:keepLines/>
        <w:pBdr>
          <w:left w:val="single" w:sz="16" w:space="8" w:color="2E74B5"/>
        </w:pBdr>
        <w:shd w:val="clear" w:color="auto" w:fill="EAF1F6"/>
        <w:spacing w:before="120" w:line="269" w:lineRule="auto"/>
        <w:ind w:left="230" w:right="115"/>
      </w:pPr>
      <w:r>
        <w:rPr>
          <w:rFonts w:eastAsia="Calibri"/>
          <w:i/>
          <w:sz w:val="21"/>
        </w:rPr>
        <w:t>"Bright Minds helped lay the foundation for where I am today by encouraging me to take initiative and stay motivated in pursuing my goals. It exposed me to new environments and expectations that prepared me for both the workplace and continued learning."</w:t>
      </w:r>
      <w:r>
        <w:rPr>
          <w:rFonts w:eastAsia="Calibri"/>
          <w:b/>
          <w:color w:val="617180"/>
          <w:sz w:val="18"/>
        </w:rPr>
        <w:br/>
        <w:t>Araseli Portillo  |  Class of 2024  |  Private pilot license in progress</w:t>
      </w:r>
    </w:p>
    <w:p w14:paraId="74759A9A" w14:textId="77777777" w:rsidR="00176F05" w:rsidRDefault="0097394D">
      <w:pPr>
        <w:pStyle w:val="Heading2"/>
      </w:pPr>
      <w:r>
        <w:t>Recurring Themes</w:t>
      </w:r>
    </w:p>
    <w:p w14:paraId="5EB8F67C" w14:textId="77777777" w:rsidR="00176F05" w:rsidRDefault="0097394D">
      <w:pPr>
        <w:keepLines/>
        <w:numPr>
          <w:ilvl w:val="0"/>
          <w:numId w:val="1"/>
        </w:numPr>
      </w:pPr>
      <w:r>
        <w:rPr>
          <w:rFonts w:eastAsia="Calibri"/>
          <w:sz w:val="21"/>
        </w:rPr>
        <w:t>Exposure to professional and financial careers</w:t>
      </w:r>
    </w:p>
    <w:p w14:paraId="78D4ECA7" w14:textId="77777777" w:rsidR="00176F05" w:rsidRDefault="0097394D">
      <w:pPr>
        <w:keepLines/>
        <w:numPr>
          <w:ilvl w:val="0"/>
          <w:numId w:val="1"/>
        </w:numPr>
      </w:pPr>
      <w:r>
        <w:rPr>
          <w:rFonts w:eastAsia="Calibri"/>
          <w:sz w:val="21"/>
        </w:rPr>
        <w:t>Confidence speaking and presenting</w:t>
      </w:r>
    </w:p>
    <w:p w14:paraId="1B87BB4E" w14:textId="77777777" w:rsidR="00176F05" w:rsidRDefault="0097394D">
      <w:pPr>
        <w:keepLines/>
        <w:numPr>
          <w:ilvl w:val="0"/>
          <w:numId w:val="1"/>
        </w:numPr>
      </w:pPr>
      <w:r>
        <w:rPr>
          <w:rFonts w:eastAsia="Calibri"/>
          <w:sz w:val="21"/>
        </w:rPr>
        <w:t>Preparation for internships and employment</w:t>
      </w:r>
    </w:p>
    <w:p w14:paraId="412963E5" w14:textId="77777777" w:rsidR="00176F05" w:rsidRDefault="0097394D">
      <w:pPr>
        <w:keepLines/>
        <w:numPr>
          <w:ilvl w:val="0"/>
          <w:numId w:val="1"/>
        </w:numPr>
      </w:pPr>
      <w:r>
        <w:rPr>
          <w:rFonts w:eastAsia="Calibri"/>
          <w:sz w:val="21"/>
        </w:rPr>
        <w:t>Relationship-building with professors, mentors, and colleagues</w:t>
      </w:r>
    </w:p>
    <w:p w14:paraId="6BEA29BF" w14:textId="77777777" w:rsidR="00176F05" w:rsidRDefault="0097394D">
      <w:pPr>
        <w:keepLines/>
        <w:numPr>
          <w:ilvl w:val="0"/>
          <w:numId w:val="1"/>
        </w:numPr>
      </w:pPr>
      <w:r>
        <w:rPr>
          <w:rFonts w:eastAsia="Calibri"/>
          <w:sz w:val="21"/>
        </w:rPr>
        <w:t>Initiative, professionalism, and long-term goal setting</w:t>
      </w:r>
    </w:p>
    <w:p w14:paraId="11507143" w14:textId="77777777" w:rsidR="00176F05" w:rsidRDefault="0097394D">
      <w:r>
        <w:rPr>
          <w:rFonts w:eastAsia="Calibri"/>
        </w:rPr>
        <w:t>These accounts should be read as participant perspectives. They add depth to the record and do not substitute for cohort-wide outcome measurement.</w:t>
      </w:r>
    </w:p>
    <w:p w14:paraId="5615C7F8" w14:textId="77777777" w:rsidR="00176F05" w:rsidRDefault="0097394D">
      <w:r>
        <w:br w:type="page"/>
      </w:r>
    </w:p>
    <w:p w14:paraId="1CA54A84" w14:textId="77777777" w:rsidR="00176F05" w:rsidRDefault="0097394D">
      <w:r>
        <w:rPr>
          <w:rFonts w:eastAsia="Calibri"/>
          <w:b/>
          <w:caps/>
          <w:color w:val="C69214"/>
          <w:sz w:val="19"/>
        </w:rPr>
        <w:t>EVIDENCE DISCIPLINE</w:t>
      </w:r>
    </w:p>
    <w:p w14:paraId="0C286021" w14:textId="77777777" w:rsidR="00176F05" w:rsidRDefault="0097394D">
      <w:pPr>
        <w:pStyle w:val="Heading1"/>
      </w:pPr>
      <w:r>
        <w:t>Evidence and Measurement Boundaries</w:t>
      </w:r>
    </w:p>
    <w:p w14:paraId="03FC91FB" w14:textId="77777777" w:rsidR="00176F05" w:rsidRDefault="0097394D">
      <w:pPr>
        <w:spacing w:after="200" w:line="288" w:lineRule="auto"/>
      </w:pPr>
      <w:r>
        <w:rPr>
          <w:rFonts w:eastAsia="Calibri"/>
          <w:b/>
          <w:color w:val="17365D"/>
        </w:rPr>
        <w:t>Responsible impact reporting distinguishes documented activity and trajectories from outcomes that have not yet been measured systematically.</w:t>
      </w:r>
    </w:p>
    <w:tbl>
      <w:tblPr>
        <w:tblW w:w="9360" w:type="dxa"/>
        <w:tblInd w:w="120" w:type="dxa"/>
        <w:tblBorders>
          <w:top w:val="single" w:sz="5" w:space="0" w:color="CBD5DF"/>
          <w:left w:val="single" w:sz="5" w:space="0" w:color="CBD5DF"/>
          <w:bottom w:val="single" w:sz="5" w:space="0" w:color="CBD5DF"/>
          <w:right w:val="single" w:sz="5" w:space="0" w:color="CBD5DF"/>
          <w:insideH w:val="single" w:sz="5" w:space="0" w:color="CBD5DF"/>
          <w:insideV w:val="single" w:sz="5" w:space="0" w:color="CBD5DF"/>
        </w:tblBorders>
        <w:tblLayout w:type="fixed"/>
        <w:tblLook w:val="04A0" w:firstRow="1" w:lastRow="0" w:firstColumn="1" w:lastColumn="0" w:noHBand="0" w:noVBand="1"/>
      </w:tblPr>
      <w:tblGrid>
        <w:gridCol w:w="4680"/>
        <w:gridCol w:w="4680"/>
      </w:tblGrid>
      <w:tr w:rsidR="00176F05" w14:paraId="6E3E20C9" w14:textId="77777777">
        <w:trPr>
          <w:tblHeader/>
        </w:trPr>
        <w:tc>
          <w:tcPr>
            <w:tcW w:w="4680" w:type="dxa"/>
            <w:shd w:val="clear" w:color="auto" w:fill="17365D"/>
            <w:tcMar>
              <w:top w:w="80" w:type="dxa"/>
              <w:left w:w="120" w:type="dxa"/>
              <w:bottom w:w="80" w:type="dxa"/>
              <w:right w:w="120" w:type="dxa"/>
            </w:tcMar>
            <w:vAlign w:val="center"/>
          </w:tcPr>
          <w:p w14:paraId="0B79024F" w14:textId="77777777" w:rsidR="00176F05" w:rsidRDefault="0097394D">
            <w:pPr>
              <w:jc w:val="center"/>
            </w:pPr>
            <w:r>
              <w:rPr>
                <w:rFonts w:eastAsia="Calibri"/>
                <w:b/>
                <w:color w:val="FFFFFF"/>
                <w:sz w:val="20"/>
              </w:rPr>
              <w:t>Documented evidence</w:t>
            </w:r>
          </w:p>
        </w:tc>
        <w:tc>
          <w:tcPr>
            <w:tcW w:w="4680" w:type="dxa"/>
            <w:shd w:val="clear" w:color="auto" w:fill="1F4D78"/>
            <w:tcMar>
              <w:top w:w="80" w:type="dxa"/>
              <w:left w:w="120" w:type="dxa"/>
              <w:bottom w:w="80" w:type="dxa"/>
              <w:right w:w="120" w:type="dxa"/>
            </w:tcMar>
            <w:vAlign w:val="center"/>
          </w:tcPr>
          <w:p w14:paraId="3C5A460C" w14:textId="77777777" w:rsidR="00176F05" w:rsidRDefault="0097394D">
            <w:pPr>
              <w:jc w:val="center"/>
            </w:pPr>
            <w:r>
              <w:rPr>
                <w:rFonts w:eastAsia="Calibri"/>
                <w:b/>
                <w:color w:val="FFFFFF"/>
                <w:sz w:val="20"/>
              </w:rPr>
              <w:t>Current measurement gaps</w:t>
            </w:r>
          </w:p>
        </w:tc>
      </w:tr>
      <w:tr w:rsidR="00176F05" w14:paraId="3F454DF9" w14:textId="77777777">
        <w:tc>
          <w:tcPr>
            <w:tcW w:w="4680" w:type="dxa"/>
            <w:shd w:val="clear" w:color="auto" w:fill="EAF1F6"/>
            <w:tcMar>
              <w:top w:w="80" w:type="dxa"/>
              <w:left w:w="120" w:type="dxa"/>
              <w:bottom w:w="80" w:type="dxa"/>
              <w:right w:w="120" w:type="dxa"/>
            </w:tcMar>
            <w:vAlign w:val="center"/>
          </w:tcPr>
          <w:p w14:paraId="607CA479" w14:textId="77777777" w:rsidR="00176F05" w:rsidRDefault="0097394D">
            <w:pPr>
              <w:keepLines/>
              <w:numPr>
                <w:ilvl w:val="0"/>
                <w:numId w:val="1"/>
              </w:numPr>
            </w:pPr>
            <w:r>
              <w:rPr>
                <w:rFonts w:eastAsia="Calibri"/>
                <w:sz w:val="18"/>
              </w:rPr>
              <w:t>Ten years of implementation and sustained cohort activity</w:t>
            </w:r>
          </w:p>
          <w:p w14:paraId="28BE8DB3" w14:textId="77777777" w:rsidR="00176F05" w:rsidRDefault="0097394D">
            <w:pPr>
              <w:keepLines/>
              <w:numPr>
                <w:ilvl w:val="0"/>
                <w:numId w:val="1"/>
              </w:numPr>
            </w:pPr>
            <w:r>
              <w:rPr>
                <w:rFonts w:eastAsia="Calibri"/>
                <w:sz w:val="18"/>
              </w:rPr>
              <w:t>Professional research, products, and presentations for field audiences</w:t>
            </w:r>
          </w:p>
          <w:p w14:paraId="314EDA67" w14:textId="77777777" w:rsidR="00176F05" w:rsidRDefault="0097394D">
            <w:pPr>
              <w:keepLines/>
              <w:numPr>
                <w:ilvl w:val="0"/>
                <w:numId w:val="1"/>
              </w:numPr>
            </w:pPr>
            <w:r>
              <w:rPr>
                <w:rFonts w:eastAsia="Calibri"/>
                <w:sz w:val="18"/>
              </w:rPr>
              <w:t>123+ alumni with documented educational or professional outcomes</w:t>
            </w:r>
          </w:p>
          <w:p w14:paraId="391D7B1C" w14:textId="77777777" w:rsidR="00176F05" w:rsidRDefault="0097394D">
            <w:pPr>
              <w:keepLines/>
              <w:numPr>
                <w:ilvl w:val="0"/>
                <w:numId w:val="1"/>
              </w:numPr>
            </w:pPr>
            <w:r>
              <w:rPr>
                <w:rFonts w:eastAsia="Calibri"/>
                <w:sz w:val="18"/>
              </w:rPr>
              <w:t>Alumni pathways across education, finance, technology, defense, research, public service, and entrepreneurship</w:t>
            </w:r>
          </w:p>
          <w:p w14:paraId="3B08A4E8" w14:textId="77777777" w:rsidR="00176F05" w:rsidRDefault="0097394D">
            <w:pPr>
              <w:keepLines/>
              <w:numPr>
                <w:ilvl w:val="0"/>
                <w:numId w:val="1"/>
              </w:numPr>
            </w:pPr>
            <w:r>
              <w:rPr>
                <w:rFonts w:eastAsia="Calibri"/>
                <w:sz w:val="18"/>
              </w:rPr>
              <w:t>External recognition and returning alumni leaders</w:t>
            </w:r>
          </w:p>
        </w:tc>
        <w:tc>
          <w:tcPr>
            <w:tcW w:w="4680" w:type="dxa"/>
            <w:shd w:val="clear" w:color="auto" w:fill="F4F6F9"/>
            <w:tcMar>
              <w:top w:w="80" w:type="dxa"/>
              <w:left w:w="120" w:type="dxa"/>
              <w:bottom w:w="80" w:type="dxa"/>
              <w:right w:w="120" w:type="dxa"/>
            </w:tcMar>
            <w:vAlign w:val="center"/>
          </w:tcPr>
          <w:p w14:paraId="55AB39E9" w14:textId="77777777" w:rsidR="00176F05" w:rsidRDefault="0097394D">
            <w:pPr>
              <w:keepLines/>
              <w:numPr>
                <w:ilvl w:val="0"/>
                <w:numId w:val="1"/>
              </w:numPr>
            </w:pPr>
            <w:r>
              <w:rPr>
                <w:rFonts w:eastAsia="Calibri"/>
                <w:sz w:val="18"/>
              </w:rPr>
              <w:t>Cohort-wide income and wage progression</w:t>
            </w:r>
          </w:p>
          <w:p w14:paraId="24D9937C" w14:textId="77777777" w:rsidR="00176F05" w:rsidRDefault="0097394D">
            <w:pPr>
              <w:keepLines/>
              <w:numPr>
                <w:ilvl w:val="0"/>
                <w:numId w:val="1"/>
              </w:numPr>
            </w:pPr>
            <w:r>
              <w:rPr>
                <w:rFonts w:eastAsia="Calibri"/>
                <w:sz w:val="18"/>
              </w:rPr>
              <w:t>Savings, credit, banking, and household financial measures</w:t>
            </w:r>
          </w:p>
          <w:p w14:paraId="49FBCED8" w14:textId="77777777" w:rsidR="00176F05" w:rsidRDefault="0097394D">
            <w:pPr>
              <w:keepLines/>
              <w:numPr>
                <w:ilvl w:val="0"/>
                <w:numId w:val="1"/>
              </w:numPr>
            </w:pPr>
            <w:r>
              <w:rPr>
                <w:rFonts w:eastAsia="Calibri"/>
                <w:sz w:val="18"/>
              </w:rPr>
              <w:t>Postsecondary enrollment, persistence, and completion rates across all participants</w:t>
            </w:r>
          </w:p>
          <w:p w14:paraId="5C3B034B" w14:textId="77777777" w:rsidR="00176F05" w:rsidRDefault="0097394D">
            <w:pPr>
              <w:keepLines/>
              <w:numPr>
                <w:ilvl w:val="0"/>
                <w:numId w:val="1"/>
              </w:numPr>
            </w:pPr>
            <w:r>
              <w:rPr>
                <w:rFonts w:eastAsia="Calibri"/>
                <w:sz w:val="18"/>
              </w:rPr>
              <w:t>Internship, employment, and business formation rates across cohorts</w:t>
            </w:r>
          </w:p>
          <w:p w14:paraId="5EFA3161" w14:textId="77777777" w:rsidR="00176F05" w:rsidRDefault="0097394D">
            <w:pPr>
              <w:keepLines/>
              <w:numPr>
                <w:ilvl w:val="0"/>
                <w:numId w:val="1"/>
              </w:numPr>
            </w:pPr>
            <w:r>
              <w:rPr>
                <w:rFonts w:eastAsia="Calibri"/>
                <w:sz w:val="18"/>
              </w:rPr>
              <w:t>A comparison group or other design for estimating program-attributable effects</w:t>
            </w:r>
          </w:p>
        </w:tc>
      </w:tr>
    </w:tbl>
    <w:p w14:paraId="60CD2D56" w14:textId="77777777" w:rsidR="00176F05" w:rsidRDefault="0097394D">
      <w:pPr>
        <w:pStyle w:val="TableCitationText"/>
      </w:pPr>
      <w:r>
        <w:rPr>
          <w:rFonts w:eastAsia="Calibri"/>
          <w:i/>
        </w:rPr>
        <w:t>The table summarizes the present evidence base and the measures proposed for the next stage of evaluation.</w:t>
      </w:r>
    </w:p>
    <w:p w14:paraId="3A511AF4" w14:textId="77777777" w:rsidR="00176F05" w:rsidRDefault="0097394D">
      <w:pPr>
        <w:pStyle w:val="Heading2"/>
      </w:pPr>
      <w:r>
        <w:t>Methodology and Sources</w:t>
      </w:r>
    </w:p>
    <w:p w14:paraId="5483CCE5" w14:textId="77777777" w:rsidR="00176F05" w:rsidRDefault="0097394D">
      <w:r>
        <w:rPr>
          <w:rFonts w:eastAsia="Calibri"/>
        </w:rPr>
        <w:t>This report draws on My True Prosperity program records, cohort histories, a spring 2026 alumni outreach campaign, review of publicly available professional profiles, and documentation of external awards and institutional recognition.</w:t>
      </w:r>
    </w:p>
    <w:p w14:paraId="5F584741" w14:textId="77777777" w:rsidR="00176F05" w:rsidRDefault="0097394D">
      <w:r>
        <w:rPr>
          <w:rFonts w:eastAsia="Calibri"/>
        </w:rPr>
        <w:t>The 123+ figure refers to alumni with documented outcomes, not to the number of outcome events. The 30+ figure refers to postsecondary institutions represented in the documented alumni record. The nearly 4,000 figure describes the size of the practitioner network through which participant work has been distributed or reached; it does not imply that every practitioner evaluated, adopted, or implemented the work.</w:t>
      </w:r>
    </w:p>
    <w:p w14:paraId="58B26F30" w14:textId="77777777" w:rsidR="00176F05" w:rsidRDefault="0097394D">
      <w:r>
        <w:rPr>
          <w:rFonts w:eastAsia="Calibri"/>
        </w:rPr>
        <w:t>Comprehensive longitudinal tracking was not in place in every cohort year. Response rates, baseline measures, comparison data, and cohort-wide outcome rates are therefore unavailable. Public professional profiles also capture some career pathways more fully than others.</w:t>
      </w:r>
    </w:p>
    <w:p w14:paraId="506077D4" w14:textId="77777777" w:rsidR="00176F05" w:rsidRDefault="0097394D">
      <w:r>
        <w:rPr>
          <w:rFonts w:eastAsia="Calibri"/>
        </w:rPr>
        <w:t>Information in this report reflects records available during preparation in August 2026. Future editions should publish cohort definitions, response rates, metric denominators, and data-collection intervals alongside results.</w:t>
      </w:r>
    </w:p>
    <w:p w14:paraId="1FE1CF5E" w14:textId="77777777" w:rsidR="00176F05" w:rsidRDefault="0097394D">
      <w:r>
        <w:br w:type="page"/>
      </w:r>
    </w:p>
    <w:p w14:paraId="34DD0A56" w14:textId="77777777" w:rsidR="00176F05" w:rsidRDefault="0097394D">
      <w:r>
        <w:rPr>
          <w:rFonts w:eastAsia="Calibri"/>
          <w:b/>
          <w:caps/>
          <w:color w:val="C69214"/>
          <w:sz w:val="19"/>
        </w:rPr>
        <w:t>THE NEXT STAGE</w:t>
      </w:r>
    </w:p>
    <w:p w14:paraId="1EE26022" w14:textId="77777777" w:rsidR="00176F05" w:rsidRDefault="0097394D">
      <w:pPr>
        <w:pStyle w:val="Heading1"/>
      </w:pPr>
      <w:r>
        <w:t>From Established Program to Expanded Platform</w:t>
      </w:r>
    </w:p>
    <w:p w14:paraId="6D8EB87D" w14:textId="77777777" w:rsidR="00176F05" w:rsidRDefault="0097394D">
      <w:pPr>
        <w:spacing w:after="200" w:line="288" w:lineRule="auto"/>
      </w:pPr>
      <w:r>
        <w:rPr>
          <w:rFonts w:eastAsia="Calibri"/>
          <w:b/>
          <w:color w:val="17365D"/>
        </w:rPr>
        <w:t>The Institute of Bright Minds is planned as an expansion of work that has been developing since 2016.</w:t>
      </w:r>
    </w:p>
    <w:p w14:paraId="17487FD6" w14:textId="77777777" w:rsidR="00176F05" w:rsidRDefault="0097394D">
      <w:r>
        <w:rPr>
          <w:rFonts w:eastAsia="Calibri"/>
        </w:rPr>
        <w:t>Ten years of implementation have created assets that take time to build: an operating model, an alumni network, institutional knowledge, relationships in the financial capability field, a history of youth-generated work reaching professional audiences, and an internal pipeline of former participants returning to lead.</w:t>
      </w:r>
    </w:p>
    <w:p w14:paraId="535CE1EC" w14:textId="77777777" w:rsidR="00176F05" w:rsidRDefault="0097394D">
      <w:r>
        <w:rPr>
          <w:rFonts w:eastAsia="Calibri"/>
        </w:rPr>
        <w:t>The proposed Institute would provide a broader structure for those assets. Plans include a Bright Minds Professional Academy, expanded workforce development, employer engagement, entrepreneurship, paid work opportunities, financial capability, and more systematic long-term outcome measurement.</w:t>
      </w:r>
    </w:p>
    <w:p w14:paraId="2D5408E1" w14:textId="77777777" w:rsidR="00176F05" w:rsidRDefault="0097394D">
      <w:pPr>
        <w:pStyle w:val="Heading2"/>
      </w:pPr>
      <w:r>
        <w:t>Planned Areas of Expansion</w:t>
      </w:r>
    </w:p>
    <w:p w14:paraId="0BE57A08" w14:textId="77777777" w:rsidR="00176F05" w:rsidRDefault="0097394D">
      <w:pPr>
        <w:keepLines/>
        <w:numPr>
          <w:ilvl w:val="0"/>
          <w:numId w:val="1"/>
        </w:numPr>
      </w:pPr>
      <w:r>
        <w:rPr>
          <w:rFonts w:eastAsia="Calibri"/>
          <w:b/>
          <w:sz w:val="21"/>
        </w:rPr>
        <w:t xml:space="preserve">Professional Academy: </w:t>
      </w:r>
      <w:r>
        <w:rPr>
          <w:rFonts w:eastAsia="Calibri"/>
          <w:sz w:val="21"/>
        </w:rPr>
        <w:t>a fuller learning environment that integrates academic instruction with applied work.</w:t>
      </w:r>
    </w:p>
    <w:p w14:paraId="7D8733A8" w14:textId="77777777" w:rsidR="00176F05" w:rsidRDefault="0097394D">
      <w:pPr>
        <w:keepLines/>
        <w:numPr>
          <w:ilvl w:val="0"/>
          <w:numId w:val="1"/>
        </w:numPr>
      </w:pPr>
      <w:r>
        <w:rPr>
          <w:rFonts w:eastAsia="Calibri"/>
          <w:b/>
          <w:sz w:val="21"/>
        </w:rPr>
        <w:t xml:space="preserve">Workforce development: </w:t>
      </w:r>
      <w:r>
        <w:rPr>
          <w:rFonts w:eastAsia="Calibri"/>
          <w:sz w:val="21"/>
        </w:rPr>
        <w:t>sustained skill development, employer projects, internships, paid work, and career pathways.</w:t>
      </w:r>
    </w:p>
    <w:p w14:paraId="46D5C16C" w14:textId="77777777" w:rsidR="00176F05" w:rsidRDefault="0097394D">
      <w:pPr>
        <w:keepLines/>
        <w:numPr>
          <w:ilvl w:val="0"/>
          <w:numId w:val="1"/>
        </w:numPr>
      </w:pPr>
      <w:r>
        <w:rPr>
          <w:rFonts w:eastAsia="Calibri"/>
          <w:b/>
          <w:sz w:val="21"/>
        </w:rPr>
        <w:t xml:space="preserve">Entrepreneurship: </w:t>
      </w:r>
      <w:r>
        <w:rPr>
          <w:rFonts w:eastAsia="Calibri"/>
          <w:sz w:val="21"/>
        </w:rPr>
        <w:t>more systematic opportunities to identify problems, build products, test ideas, and develop enterprises.</w:t>
      </w:r>
    </w:p>
    <w:p w14:paraId="116A1CC9" w14:textId="77777777" w:rsidR="00176F05" w:rsidRDefault="0097394D">
      <w:pPr>
        <w:keepLines/>
        <w:numPr>
          <w:ilvl w:val="0"/>
          <w:numId w:val="1"/>
        </w:numPr>
      </w:pPr>
      <w:r>
        <w:rPr>
          <w:rFonts w:eastAsia="Calibri"/>
          <w:b/>
          <w:sz w:val="21"/>
        </w:rPr>
        <w:t xml:space="preserve">Financial capability: </w:t>
      </w:r>
      <w:r>
        <w:rPr>
          <w:rFonts w:eastAsia="Calibri"/>
          <w:sz w:val="21"/>
        </w:rPr>
        <w:t>closer connections among employment, income, decision-making, entrepreneurship, and long-term financial well-being.</w:t>
      </w:r>
    </w:p>
    <w:p w14:paraId="2EDF089D" w14:textId="77777777" w:rsidR="00176F05" w:rsidRDefault="0097394D">
      <w:pPr>
        <w:keepLines/>
        <w:numPr>
          <w:ilvl w:val="0"/>
          <w:numId w:val="1"/>
        </w:numPr>
      </w:pPr>
      <w:r>
        <w:rPr>
          <w:rFonts w:eastAsia="Calibri"/>
          <w:b/>
          <w:sz w:val="21"/>
        </w:rPr>
        <w:t xml:space="preserve">Employer engagement: </w:t>
      </w:r>
      <w:r>
        <w:rPr>
          <w:rFonts w:eastAsia="Calibri"/>
          <w:sz w:val="21"/>
        </w:rPr>
        <w:t>deeper relationships that can support project work, mentoring, placement, and advancement.</w:t>
      </w:r>
    </w:p>
    <w:p w14:paraId="3D5A2E5A" w14:textId="77777777" w:rsidR="00176F05" w:rsidRDefault="0097394D">
      <w:pPr>
        <w:keepLines/>
        <w:numPr>
          <w:ilvl w:val="0"/>
          <w:numId w:val="1"/>
        </w:numPr>
      </w:pPr>
      <w:r>
        <w:rPr>
          <w:rFonts w:eastAsia="Calibri"/>
          <w:b/>
          <w:sz w:val="21"/>
        </w:rPr>
        <w:t xml:space="preserve">Alumni network: </w:t>
      </w:r>
      <w:r>
        <w:rPr>
          <w:rFonts w:eastAsia="Calibri"/>
          <w:sz w:val="21"/>
        </w:rPr>
        <w:t>formal roles for alumni as mentors, staff, connectors, and contributors to the next generation.</w:t>
      </w:r>
    </w:p>
    <w:p w14:paraId="47B0F8D4" w14:textId="77777777" w:rsidR="00176F05" w:rsidRDefault="0097394D">
      <w:pPr>
        <w:keepLines/>
        <w:pBdr>
          <w:left w:val="single" w:sz="18" w:space="8" w:color="C69214"/>
        </w:pBdr>
        <w:shd w:val="clear" w:color="auto" w:fill="FBF2D9"/>
        <w:spacing w:before="160" w:after="200" w:line="276" w:lineRule="auto"/>
        <w:ind w:left="202" w:right="115"/>
      </w:pPr>
      <w:r>
        <w:rPr>
          <w:rFonts w:eastAsia="Calibri"/>
          <w:b/>
          <w:color w:val="C69214"/>
          <w:sz w:val="19"/>
        </w:rPr>
        <w:t xml:space="preserve">STATUS  </w:t>
      </w:r>
      <w:r>
        <w:rPr>
          <w:rFonts w:eastAsia="Calibri"/>
          <w:sz w:val="21"/>
        </w:rPr>
        <w:t>The Institute and its planned components are prospective. Historical program outcomes in this report should not be interpreted as results of the future expansion.</w:t>
      </w:r>
    </w:p>
    <w:p w14:paraId="6B46B774" w14:textId="77777777" w:rsidR="00176F05" w:rsidRDefault="0097394D">
      <w:pPr>
        <w:pStyle w:val="Heading2"/>
      </w:pPr>
      <w:r>
        <w:t>Why Now</w:t>
      </w:r>
    </w:p>
    <w:p w14:paraId="12F8C033" w14:textId="77777777" w:rsidR="00176F05" w:rsidRDefault="0097394D">
      <w:r>
        <w:rPr>
          <w:rFonts w:eastAsia="Calibri"/>
        </w:rPr>
        <w:t>Bright Minds has enough operating history to support a disciplined expansion and enough measurement experience to define the next stage of accountability. The program has a documented alumni base, field relationships, recurring professional audiences, and former participants returning to lead. The next opportunity is to connect these assets more deliberately through an integrated platform and a stronger evaluation system.</w:t>
      </w:r>
    </w:p>
    <w:p w14:paraId="6BF21D19" w14:textId="77777777" w:rsidR="00176F05" w:rsidRDefault="0097394D">
      <w:r>
        <w:br w:type="page"/>
      </w:r>
    </w:p>
    <w:p w14:paraId="4253273E" w14:textId="77777777" w:rsidR="00176F05" w:rsidRDefault="0097394D">
      <w:r>
        <w:rPr>
          <w:rFonts w:eastAsia="Calibri"/>
          <w:b/>
          <w:caps/>
          <w:color w:val="C69214"/>
          <w:sz w:val="19"/>
        </w:rPr>
        <w:t>FUTURE ACCOUNTABILITY</w:t>
      </w:r>
    </w:p>
    <w:p w14:paraId="0B154361" w14:textId="77777777" w:rsidR="00176F05" w:rsidRDefault="0097394D">
      <w:pPr>
        <w:pStyle w:val="Heading1"/>
      </w:pPr>
      <w:r>
        <w:t>A Stronger Measurement Framework</w:t>
      </w:r>
    </w:p>
    <w:p w14:paraId="49C68926" w14:textId="77777777" w:rsidR="00176F05" w:rsidRDefault="0097394D">
      <w:pPr>
        <w:spacing w:after="200" w:line="288" w:lineRule="auto"/>
      </w:pPr>
      <w:r>
        <w:rPr>
          <w:rFonts w:eastAsia="Calibri"/>
          <w:b/>
          <w:color w:val="17365D"/>
        </w:rPr>
        <w:t>The next phase should pair program growth with clear definitions, consistent follow-up, and participant-centered data practices.</w:t>
      </w:r>
    </w:p>
    <w:tbl>
      <w:tblPr>
        <w:tblW w:w="9360" w:type="dxa"/>
        <w:tblInd w:w="120" w:type="dxa"/>
        <w:tblBorders>
          <w:top w:val="single" w:sz="5" w:space="0" w:color="CBD5DF"/>
          <w:left w:val="single" w:sz="5" w:space="0" w:color="CBD5DF"/>
          <w:bottom w:val="single" w:sz="5" w:space="0" w:color="CBD5DF"/>
          <w:right w:val="single" w:sz="5" w:space="0" w:color="CBD5DF"/>
          <w:insideH w:val="single" w:sz="5" w:space="0" w:color="CBD5DF"/>
          <w:insideV w:val="single" w:sz="5" w:space="0" w:color="CBD5DF"/>
        </w:tblBorders>
        <w:tblLayout w:type="fixed"/>
        <w:tblLook w:val="04A0" w:firstRow="1" w:lastRow="0" w:firstColumn="1" w:lastColumn="0" w:noHBand="0" w:noVBand="1"/>
      </w:tblPr>
      <w:tblGrid>
        <w:gridCol w:w="2700"/>
        <w:gridCol w:w="6660"/>
      </w:tblGrid>
      <w:tr w:rsidR="00176F05" w14:paraId="6D41E995" w14:textId="77777777">
        <w:trPr>
          <w:tblHeader/>
        </w:trPr>
        <w:tc>
          <w:tcPr>
            <w:tcW w:w="2700" w:type="dxa"/>
            <w:shd w:val="clear" w:color="auto" w:fill="17365D"/>
            <w:tcMar>
              <w:top w:w="45" w:type="dxa"/>
              <w:left w:w="120" w:type="dxa"/>
              <w:bottom w:w="45" w:type="dxa"/>
              <w:right w:w="120" w:type="dxa"/>
            </w:tcMar>
            <w:vAlign w:val="center"/>
          </w:tcPr>
          <w:p w14:paraId="60885763" w14:textId="77777777" w:rsidR="00176F05" w:rsidRDefault="0097394D">
            <w:pPr>
              <w:jc w:val="center"/>
            </w:pPr>
            <w:r>
              <w:rPr>
                <w:rFonts w:eastAsia="Calibri"/>
                <w:b/>
                <w:color w:val="FFFFFF"/>
                <w:sz w:val="19"/>
              </w:rPr>
              <w:t>Measurement domain</w:t>
            </w:r>
          </w:p>
        </w:tc>
        <w:tc>
          <w:tcPr>
            <w:tcW w:w="6660" w:type="dxa"/>
            <w:shd w:val="clear" w:color="auto" w:fill="17365D"/>
            <w:tcMar>
              <w:top w:w="45" w:type="dxa"/>
              <w:left w:w="120" w:type="dxa"/>
              <w:bottom w:w="45" w:type="dxa"/>
              <w:right w:w="120" w:type="dxa"/>
            </w:tcMar>
            <w:vAlign w:val="center"/>
          </w:tcPr>
          <w:p w14:paraId="698D4FF9" w14:textId="77777777" w:rsidR="00176F05" w:rsidRDefault="0097394D">
            <w:pPr>
              <w:jc w:val="center"/>
            </w:pPr>
            <w:r>
              <w:rPr>
                <w:rFonts w:eastAsia="Calibri"/>
                <w:b/>
                <w:color w:val="FFFFFF"/>
                <w:sz w:val="19"/>
              </w:rPr>
              <w:t>Illustrative indicators</w:t>
            </w:r>
          </w:p>
        </w:tc>
      </w:tr>
      <w:tr w:rsidR="00176F05" w14:paraId="7FE70F13" w14:textId="77777777">
        <w:tc>
          <w:tcPr>
            <w:tcW w:w="2700" w:type="dxa"/>
            <w:shd w:val="clear" w:color="auto" w:fill="FFFFFF"/>
            <w:tcMar>
              <w:top w:w="45" w:type="dxa"/>
              <w:left w:w="120" w:type="dxa"/>
              <w:bottom w:w="45" w:type="dxa"/>
              <w:right w:w="120" w:type="dxa"/>
            </w:tcMar>
            <w:vAlign w:val="center"/>
          </w:tcPr>
          <w:p w14:paraId="14AAE913" w14:textId="77777777" w:rsidR="00176F05" w:rsidRDefault="0097394D">
            <w:r>
              <w:rPr>
                <w:rFonts w:eastAsia="Calibri"/>
                <w:b/>
                <w:color w:val="17365D"/>
                <w:sz w:val="18"/>
              </w:rPr>
              <w:t>Participant baseline</w:t>
            </w:r>
          </w:p>
        </w:tc>
        <w:tc>
          <w:tcPr>
            <w:tcW w:w="6660" w:type="dxa"/>
            <w:shd w:val="clear" w:color="auto" w:fill="FFFFFF"/>
            <w:tcMar>
              <w:top w:w="45" w:type="dxa"/>
              <w:left w:w="120" w:type="dxa"/>
              <w:bottom w:w="45" w:type="dxa"/>
              <w:right w:w="120" w:type="dxa"/>
            </w:tcMar>
            <w:vAlign w:val="center"/>
          </w:tcPr>
          <w:p w14:paraId="7BBC3FC3" w14:textId="77777777" w:rsidR="00176F05" w:rsidRDefault="0097394D">
            <w:pPr>
              <w:spacing w:line="245" w:lineRule="auto"/>
            </w:pPr>
            <w:r>
              <w:rPr>
                <w:rFonts w:eastAsia="Calibri"/>
                <w:sz w:val="17"/>
              </w:rPr>
              <w:t>Age, geography, household characteristics, and applicable LMI measures, with ALICE tracked separately.</w:t>
            </w:r>
          </w:p>
        </w:tc>
      </w:tr>
      <w:tr w:rsidR="00176F05" w14:paraId="26A7E064" w14:textId="77777777">
        <w:tc>
          <w:tcPr>
            <w:tcW w:w="2700" w:type="dxa"/>
            <w:shd w:val="clear" w:color="auto" w:fill="EAF1F6"/>
            <w:tcMar>
              <w:top w:w="45" w:type="dxa"/>
              <w:left w:w="120" w:type="dxa"/>
              <w:bottom w:w="45" w:type="dxa"/>
              <w:right w:w="120" w:type="dxa"/>
            </w:tcMar>
            <w:vAlign w:val="center"/>
          </w:tcPr>
          <w:p w14:paraId="5E3A5A31" w14:textId="77777777" w:rsidR="00176F05" w:rsidRDefault="0097394D">
            <w:r>
              <w:rPr>
                <w:rFonts w:eastAsia="Calibri"/>
                <w:b/>
                <w:color w:val="17365D"/>
                <w:sz w:val="18"/>
              </w:rPr>
              <w:t>Program experience</w:t>
            </w:r>
          </w:p>
        </w:tc>
        <w:tc>
          <w:tcPr>
            <w:tcW w:w="6660" w:type="dxa"/>
            <w:shd w:val="clear" w:color="auto" w:fill="EAF1F6"/>
            <w:tcMar>
              <w:top w:w="45" w:type="dxa"/>
              <w:left w:w="120" w:type="dxa"/>
              <w:bottom w:w="45" w:type="dxa"/>
              <w:right w:w="120" w:type="dxa"/>
            </w:tcMar>
            <w:vAlign w:val="center"/>
          </w:tcPr>
          <w:p w14:paraId="7FA2E13D" w14:textId="77777777" w:rsidR="00176F05" w:rsidRDefault="0097394D">
            <w:pPr>
              <w:spacing w:line="245" w:lineRule="auto"/>
            </w:pPr>
            <w:r>
              <w:rPr>
                <w:rFonts w:eastAsia="Calibri"/>
                <w:sz w:val="17"/>
              </w:rPr>
              <w:t>Attendance, assignments, products completed, presentations, paid work, employer projects, and credentials.</w:t>
            </w:r>
          </w:p>
        </w:tc>
      </w:tr>
      <w:tr w:rsidR="00176F05" w14:paraId="0CD90B91" w14:textId="77777777">
        <w:tc>
          <w:tcPr>
            <w:tcW w:w="2700" w:type="dxa"/>
            <w:shd w:val="clear" w:color="auto" w:fill="FFFFFF"/>
            <w:tcMar>
              <w:top w:w="45" w:type="dxa"/>
              <w:left w:w="120" w:type="dxa"/>
              <w:bottom w:w="45" w:type="dxa"/>
              <w:right w:w="120" w:type="dxa"/>
            </w:tcMar>
            <w:vAlign w:val="center"/>
          </w:tcPr>
          <w:p w14:paraId="1158204B" w14:textId="77777777" w:rsidR="00176F05" w:rsidRDefault="0097394D">
            <w:r>
              <w:rPr>
                <w:rFonts w:eastAsia="Calibri"/>
                <w:b/>
                <w:color w:val="17365D"/>
                <w:sz w:val="18"/>
              </w:rPr>
              <w:t>Workforce outcomes</w:t>
            </w:r>
          </w:p>
        </w:tc>
        <w:tc>
          <w:tcPr>
            <w:tcW w:w="6660" w:type="dxa"/>
            <w:shd w:val="clear" w:color="auto" w:fill="FFFFFF"/>
            <w:tcMar>
              <w:top w:w="45" w:type="dxa"/>
              <w:left w:w="120" w:type="dxa"/>
              <w:bottom w:w="45" w:type="dxa"/>
              <w:right w:w="120" w:type="dxa"/>
            </w:tcMar>
            <w:vAlign w:val="center"/>
          </w:tcPr>
          <w:p w14:paraId="7CDB870D" w14:textId="77777777" w:rsidR="00176F05" w:rsidRDefault="0097394D">
            <w:pPr>
              <w:spacing w:line="245" w:lineRule="auto"/>
            </w:pPr>
            <w:r>
              <w:rPr>
                <w:rFonts w:eastAsia="Calibri"/>
                <w:sz w:val="17"/>
              </w:rPr>
              <w:t>Internships, employment, job retention, occupation, earnings progression, and employer feedback.</w:t>
            </w:r>
          </w:p>
        </w:tc>
      </w:tr>
      <w:tr w:rsidR="00176F05" w14:paraId="49A9C806" w14:textId="77777777">
        <w:tc>
          <w:tcPr>
            <w:tcW w:w="2700" w:type="dxa"/>
            <w:shd w:val="clear" w:color="auto" w:fill="EAF1F6"/>
            <w:tcMar>
              <w:top w:w="45" w:type="dxa"/>
              <w:left w:w="120" w:type="dxa"/>
              <w:bottom w:w="45" w:type="dxa"/>
              <w:right w:w="120" w:type="dxa"/>
            </w:tcMar>
            <w:vAlign w:val="center"/>
          </w:tcPr>
          <w:p w14:paraId="7D9D674E" w14:textId="77777777" w:rsidR="00176F05" w:rsidRDefault="0097394D">
            <w:r>
              <w:rPr>
                <w:rFonts w:eastAsia="Calibri"/>
                <w:b/>
                <w:color w:val="17365D"/>
                <w:sz w:val="18"/>
              </w:rPr>
              <w:t>Education outcomes</w:t>
            </w:r>
          </w:p>
        </w:tc>
        <w:tc>
          <w:tcPr>
            <w:tcW w:w="6660" w:type="dxa"/>
            <w:shd w:val="clear" w:color="auto" w:fill="EAF1F6"/>
            <w:tcMar>
              <w:top w:w="45" w:type="dxa"/>
              <w:left w:w="120" w:type="dxa"/>
              <w:bottom w:w="45" w:type="dxa"/>
              <w:right w:w="120" w:type="dxa"/>
            </w:tcMar>
            <w:vAlign w:val="center"/>
          </w:tcPr>
          <w:p w14:paraId="1A910CEE" w14:textId="77777777" w:rsidR="00176F05" w:rsidRDefault="0097394D">
            <w:pPr>
              <w:spacing w:line="245" w:lineRule="auto"/>
            </w:pPr>
            <w:r>
              <w:rPr>
                <w:rFonts w:eastAsia="Calibri"/>
                <w:sz w:val="17"/>
              </w:rPr>
              <w:t>Enrollment, persistence, completion, credentials, and graduate education.</w:t>
            </w:r>
          </w:p>
        </w:tc>
      </w:tr>
      <w:tr w:rsidR="00176F05" w14:paraId="4C9C4368" w14:textId="77777777">
        <w:tc>
          <w:tcPr>
            <w:tcW w:w="2700" w:type="dxa"/>
            <w:shd w:val="clear" w:color="auto" w:fill="FFFFFF"/>
            <w:tcMar>
              <w:top w:w="45" w:type="dxa"/>
              <w:left w:w="120" w:type="dxa"/>
              <w:bottom w:w="45" w:type="dxa"/>
              <w:right w:w="120" w:type="dxa"/>
            </w:tcMar>
            <w:vAlign w:val="center"/>
          </w:tcPr>
          <w:p w14:paraId="116B658D" w14:textId="77777777" w:rsidR="00176F05" w:rsidRDefault="0097394D">
            <w:r>
              <w:rPr>
                <w:rFonts w:eastAsia="Calibri"/>
                <w:b/>
                <w:color w:val="17365D"/>
                <w:sz w:val="18"/>
              </w:rPr>
              <w:t>Financial well-being</w:t>
            </w:r>
          </w:p>
        </w:tc>
        <w:tc>
          <w:tcPr>
            <w:tcW w:w="6660" w:type="dxa"/>
            <w:shd w:val="clear" w:color="auto" w:fill="FFFFFF"/>
            <w:tcMar>
              <w:top w:w="45" w:type="dxa"/>
              <w:left w:w="120" w:type="dxa"/>
              <w:bottom w:w="45" w:type="dxa"/>
              <w:right w:w="120" w:type="dxa"/>
            </w:tcMar>
            <w:vAlign w:val="center"/>
          </w:tcPr>
          <w:p w14:paraId="60237DC1" w14:textId="77777777" w:rsidR="00176F05" w:rsidRDefault="0097394D">
            <w:pPr>
              <w:spacing w:line="245" w:lineRule="auto"/>
            </w:pPr>
            <w:r>
              <w:rPr>
                <w:rFonts w:eastAsia="Calibri"/>
                <w:sz w:val="17"/>
              </w:rPr>
              <w:t>Banking access, savings, credit, financial confidence, and other measures selected with participants.</w:t>
            </w:r>
          </w:p>
        </w:tc>
      </w:tr>
      <w:tr w:rsidR="00176F05" w14:paraId="01664DBA" w14:textId="77777777">
        <w:tc>
          <w:tcPr>
            <w:tcW w:w="2700" w:type="dxa"/>
            <w:shd w:val="clear" w:color="auto" w:fill="EAF1F6"/>
            <w:tcMar>
              <w:top w:w="45" w:type="dxa"/>
              <w:left w:w="120" w:type="dxa"/>
              <w:bottom w:w="45" w:type="dxa"/>
              <w:right w:w="120" w:type="dxa"/>
            </w:tcMar>
            <w:vAlign w:val="center"/>
          </w:tcPr>
          <w:p w14:paraId="21D2D502" w14:textId="77777777" w:rsidR="00176F05" w:rsidRDefault="0097394D">
            <w:r>
              <w:rPr>
                <w:rFonts w:eastAsia="Calibri"/>
                <w:b/>
                <w:color w:val="17365D"/>
                <w:sz w:val="18"/>
              </w:rPr>
              <w:t>Entrepreneurship</w:t>
            </w:r>
          </w:p>
        </w:tc>
        <w:tc>
          <w:tcPr>
            <w:tcW w:w="6660" w:type="dxa"/>
            <w:shd w:val="clear" w:color="auto" w:fill="EAF1F6"/>
            <w:tcMar>
              <w:top w:w="45" w:type="dxa"/>
              <w:left w:w="120" w:type="dxa"/>
              <w:bottom w:w="45" w:type="dxa"/>
              <w:right w:w="120" w:type="dxa"/>
            </w:tcMar>
            <w:vAlign w:val="center"/>
          </w:tcPr>
          <w:p w14:paraId="30427A9B" w14:textId="77777777" w:rsidR="00176F05" w:rsidRDefault="0097394D">
            <w:pPr>
              <w:spacing w:line="245" w:lineRule="auto"/>
            </w:pPr>
            <w:r>
              <w:rPr>
                <w:rFonts w:eastAsia="Calibri"/>
                <w:sz w:val="17"/>
              </w:rPr>
              <w:t>Business concepts, launches, revenue, financing, survival, and participant-defined milestones.</w:t>
            </w:r>
          </w:p>
        </w:tc>
      </w:tr>
      <w:tr w:rsidR="00176F05" w14:paraId="231ED3B5" w14:textId="77777777">
        <w:tc>
          <w:tcPr>
            <w:tcW w:w="2700" w:type="dxa"/>
            <w:shd w:val="clear" w:color="auto" w:fill="FFFFFF"/>
            <w:tcMar>
              <w:top w:w="45" w:type="dxa"/>
              <w:left w:w="120" w:type="dxa"/>
              <w:bottom w:w="45" w:type="dxa"/>
              <w:right w:w="120" w:type="dxa"/>
            </w:tcMar>
            <w:vAlign w:val="center"/>
          </w:tcPr>
          <w:p w14:paraId="4CC07BA3" w14:textId="77777777" w:rsidR="00176F05" w:rsidRDefault="0097394D">
            <w:r>
              <w:rPr>
                <w:rFonts w:eastAsia="Calibri"/>
                <w:b/>
                <w:color w:val="17365D"/>
                <w:sz w:val="18"/>
              </w:rPr>
              <w:t>Long-term tracking</w:t>
            </w:r>
          </w:p>
        </w:tc>
        <w:tc>
          <w:tcPr>
            <w:tcW w:w="6660" w:type="dxa"/>
            <w:shd w:val="clear" w:color="auto" w:fill="FFFFFF"/>
            <w:tcMar>
              <w:top w:w="45" w:type="dxa"/>
              <w:left w:w="120" w:type="dxa"/>
              <w:bottom w:w="45" w:type="dxa"/>
              <w:right w:w="120" w:type="dxa"/>
            </w:tcMar>
            <w:vAlign w:val="center"/>
          </w:tcPr>
          <w:p w14:paraId="0F53F65C" w14:textId="77777777" w:rsidR="00176F05" w:rsidRDefault="0097394D">
            <w:pPr>
              <w:spacing w:line="245" w:lineRule="auto"/>
            </w:pPr>
            <w:r>
              <w:rPr>
                <w:rFonts w:eastAsia="Calibri"/>
                <w:sz w:val="17"/>
              </w:rPr>
              <w:t>Consistent alumni outreach at defined intervals, with consent, privacy safeguards, and documented response rates.</w:t>
            </w:r>
          </w:p>
        </w:tc>
      </w:tr>
    </w:tbl>
    <w:p w14:paraId="70AC87A4" w14:textId="77777777" w:rsidR="00176F05" w:rsidRDefault="0097394D">
      <w:pPr>
        <w:pStyle w:val="TableCitationText"/>
      </w:pPr>
      <w:r>
        <w:rPr>
          <w:rFonts w:eastAsia="Calibri"/>
          <w:i/>
        </w:rPr>
        <w:t>Illustrative framework. Final measures should reflect program design, participant consent, privacy requirements, partner needs, and available evaluation capacity.</w:t>
      </w:r>
    </w:p>
    <w:p w14:paraId="25DC83F5" w14:textId="77777777" w:rsidR="00176F05" w:rsidRDefault="0097394D">
      <w:pPr>
        <w:keepLines/>
        <w:pBdr>
          <w:left w:val="single" w:sz="18" w:space="8" w:color="2E74B5"/>
        </w:pBdr>
        <w:shd w:val="clear" w:color="auto" w:fill="EAF1F6"/>
        <w:spacing w:before="160" w:after="200" w:line="276" w:lineRule="auto"/>
        <w:ind w:left="202" w:right="115"/>
      </w:pPr>
      <w:r>
        <w:rPr>
          <w:rFonts w:eastAsia="Calibri"/>
          <w:b/>
          <w:color w:val="2E74B5"/>
          <w:sz w:val="19"/>
        </w:rPr>
        <w:t xml:space="preserve">ACCOUNTABILITY COMMITMENT  </w:t>
      </w:r>
      <w:r>
        <w:rPr>
          <w:rFonts w:eastAsia="Calibri"/>
          <w:sz w:val="21"/>
        </w:rPr>
        <w:t>Expansion should be accompanied by defined populations, published denominators, consistent follow-up intervals, privacy safeguards, and clear separation between program activity, participant trajectories, and measured outcomes.</w:t>
      </w:r>
    </w:p>
    <w:p w14:paraId="17BF1EB4" w14:textId="77777777" w:rsidR="00176F05" w:rsidRDefault="0097394D">
      <w:r>
        <w:br w:type="page"/>
      </w:r>
    </w:p>
    <w:p w14:paraId="1A09AAEC" w14:textId="77777777" w:rsidR="00176F05" w:rsidRDefault="0097394D">
      <w:r>
        <w:rPr>
          <w:rFonts w:eastAsia="Calibri"/>
          <w:b/>
          <w:caps/>
          <w:color w:val="C69214"/>
          <w:sz w:val="19"/>
        </w:rPr>
        <w:t>INVESTMENT AND PARTNERSHIP</w:t>
      </w:r>
    </w:p>
    <w:p w14:paraId="7FEED6CE" w14:textId="77777777" w:rsidR="00176F05" w:rsidRDefault="0097394D">
      <w:pPr>
        <w:pStyle w:val="Heading1"/>
      </w:pPr>
      <w:r>
        <w:t>What Support Can Enable</w:t>
      </w:r>
    </w:p>
    <w:p w14:paraId="08B38A16" w14:textId="77777777" w:rsidR="00176F05" w:rsidRDefault="0097394D">
      <w:pPr>
        <w:spacing w:after="200" w:line="288" w:lineRule="auto"/>
      </w:pPr>
      <w:r>
        <w:rPr>
          <w:rFonts w:eastAsia="Calibri"/>
          <w:b/>
          <w:color w:val="17365D"/>
        </w:rPr>
        <w:t>The planned Institute creates a practical point of entry for funders, banks, employers, educators, and community-development partners.</w:t>
      </w:r>
    </w:p>
    <w:tbl>
      <w:tblPr>
        <w:tblW w:w="9360" w:type="dxa"/>
        <w:tblInd w:w="120" w:type="dxa"/>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Layout w:type="fixed"/>
        <w:tblLook w:val="04A0" w:firstRow="1" w:lastRow="0" w:firstColumn="1" w:lastColumn="0" w:noHBand="0" w:noVBand="1"/>
      </w:tblPr>
      <w:tblGrid>
        <w:gridCol w:w="4680"/>
        <w:gridCol w:w="4680"/>
      </w:tblGrid>
      <w:tr w:rsidR="00176F05" w14:paraId="76821273" w14:textId="77777777">
        <w:tc>
          <w:tcPr>
            <w:tcW w:w="4680" w:type="dxa"/>
            <w:shd w:val="clear" w:color="auto" w:fill="EAF1F6"/>
            <w:tcMar>
              <w:top w:w="110" w:type="dxa"/>
              <w:left w:w="160" w:type="dxa"/>
              <w:bottom w:w="110" w:type="dxa"/>
              <w:right w:w="160" w:type="dxa"/>
            </w:tcMar>
            <w:vAlign w:val="center"/>
          </w:tcPr>
          <w:p w14:paraId="6AC51B2C" w14:textId="77777777" w:rsidR="00176F05" w:rsidRDefault="0097394D">
            <w:pPr>
              <w:spacing w:after="80"/>
            </w:pPr>
            <w:r>
              <w:rPr>
                <w:rFonts w:eastAsia="Calibri"/>
                <w:b/>
                <w:color w:val="2E74B5"/>
                <w:sz w:val="18"/>
              </w:rPr>
              <w:t>PROGRAM CAPACITY</w:t>
            </w:r>
          </w:p>
          <w:p w14:paraId="26B05521" w14:textId="77777777" w:rsidR="00176F05" w:rsidRDefault="0097394D">
            <w:pPr>
              <w:spacing w:after="0" w:line="259" w:lineRule="auto"/>
            </w:pPr>
            <w:r>
              <w:rPr>
                <w:rFonts w:eastAsia="Calibri"/>
                <w:sz w:val="19"/>
              </w:rPr>
              <w:t>Integrated learning, workforce preparation, participant support, and paid roles.</w:t>
            </w:r>
          </w:p>
        </w:tc>
        <w:tc>
          <w:tcPr>
            <w:tcW w:w="4680" w:type="dxa"/>
            <w:shd w:val="clear" w:color="auto" w:fill="FBF2D9"/>
            <w:tcMar>
              <w:top w:w="110" w:type="dxa"/>
              <w:left w:w="160" w:type="dxa"/>
              <w:bottom w:w="110" w:type="dxa"/>
              <w:right w:w="160" w:type="dxa"/>
            </w:tcMar>
            <w:vAlign w:val="center"/>
          </w:tcPr>
          <w:p w14:paraId="55BEAD6D" w14:textId="77777777" w:rsidR="00176F05" w:rsidRDefault="0097394D">
            <w:pPr>
              <w:spacing w:after="80"/>
            </w:pPr>
            <w:r>
              <w:rPr>
                <w:rFonts w:eastAsia="Calibri"/>
                <w:b/>
                <w:color w:val="C69214"/>
                <w:sz w:val="18"/>
              </w:rPr>
              <w:t>EMPLOYER PATHWAYS</w:t>
            </w:r>
          </w:p>
          <w:p w14:paraId="0F1011A8" w14:textId="77777777" w:rsidR="00176F05" w:rsidRDefault="0097394D">
            <w:pPr>
              <w:spacing w:after="0" w:line="259" w:lineRule="auto"/>
            </w:pPr>
            <w:r>
              <w:rPr>
                <w:rFonts w:eastAsia="Calibri"/>
                <w:sz w:val="19"/>
              </w:rPr>
              <w:t>Real projects, mentoring, internships, work experience, placement, and advancement.</w:t>
            </w:r>
          </w:p>
        </w:tc>
      </w:tr>
      <w:tr w:rsidR="00176F05" w14:paraId="5EB077F1" w14:textId="77777777">
        <w:tc>
          <w:tcPr>
            <w:tcW w:w="4680" w:type="dxa"/>
            <w:shd w:val="clear" w:color="auto" w:fill="FBF2D9"/>
            <w:tcMar>
              <w:top w:w="110" w:type="dxa"/>
              <w:left w:w="160" w:type="dxa"/>
              <w:bottom w:w="110" w:type="dxa"/>
              <w:right w:w="160" w:type="dxa"/>
            </w:tcMar>
            <w:vAlign w:val="center"/>
          </w:tcPr>
          <w:p w14:paraId="770ABD5C" w14:textId="77777777" w:rsidR="00176F05" w:rsidRDefault="0097394D">
            <w:pPr>
              <w:spacing w:after="80"/>
            </w:pPr>
            <w:r>
              <w:rPr>
                <w:rFonts w:eastAsia="Calibri"/>
                <w:b/>
                <w:color w:val="C69214"/>
                <w:sz w:val="18"/>
              </w:rPr>
              <w:t>ENTERPRISE DEVELOPMENT</w:t>
            </w:r>
          </w:p>
          <w:p w14:paraId="720F6EBA" w14:textId="77777777" w:rsidR="00176F05" w:rsidRDefault="0097394D">
            <w:pPr>
              <w:spacing w:after="0" w:line="259" w:lineRule="auto"/>
            </w:pPr>
            <w:r>
              <w:rPr>
                <w:rFonts w:eastAsia="Calibri"/>
                <w:sz w:val="19"/>
              </w:rPr>
              <w:t>Product testing, youth entrepreneurship, small-business exposure, and practical application.</w:t>
            </w:r>
          </w:p>
        </w:tc>
        <w:tc>
          <w:tcPr>
            <w:tcW w:w="4680" w:type="dxa"/>
            <w:shd w:val="clear" w:color="auto" w:fill="EAF1F6"/>
            <w:tcMar>
              <w:top w:w="110" w:type="dxa"/>
              <w:left w:w="160" w:type="dxa"/>
              <w:bottom w:w="110" w:type="dxa"/>
              <w:right w:w="160" w:type="dxa"/>
            </w:tcMar>
            <w:vAlign w:val="center"/>
          </w:tcPr>
          <w:p w14:paraId="5517BC99" w14:textId="77777777" w:rsidR="00176F05" w:rsidRDefault="0097394D">
            <w:pPr>
              <w:spacing w:after="80"/>
            </w:pPr>
            <w:r>
              <w:rPr>
                <w:rFonts w:eastAsia="Calibri"/>
                <w:b/>
                <w:color w:val="2E74B5"/>
                <w:sz w:val="18"/>
              </w:rPr>
              <w:t>EVALUATION CAPACITY</w:t>
            </w:r>
          </w:p>
          <w:p w14:paraId="0AAB0A22" w14:textId="77777777" w:rsidR="00176F05" w:rsidRDefault="0097394D">
            <w:pPr>
              <w:spacing w:after="0" w:line="259" w:lineRule="auto"/>
            </w:pPr>
            <w:r>
              <w:rPr>
                <w:rFonts w:eastAsia="Calibri"/>
                <w:sz w:val="19"/>
              </w:rPr>
              <w:t>Defined populations, longitudinal tracking, participant-centered measures, and transparent reporting.</w:t>
            </w:r>
          </w:p>
        </w:tc>
      </w:tr>
    </w:tbl>
    <w:p w14:paraId="32F63E3B" w14:textId="77777777" w:rsidR="00176F05" w:rsidRDefault="0097394D">
      <w:pPr>
        <w:pStyle w:val="Heading2"/>
      </w:pPr>
      <w:r>
        <w:t>Forms of Partnership</w:t>
      </w:r>
    </w:p>
    <w:p w14:paraId="2BBE2391" w14:textId="77777777" w:rsidR="00176F05" w:rsidRDefault="0097394D">
      <w:pPr>
        <w:keepLines/>
        <w:numPr>
          <w:ilvl w:val="0"/>
          <w:numId w:val="1"/>
        </w:numPr>
      </w:pPr>
      <w:r>
        <w:rPr>
          <w:rFonts w:eastAsia="Calibri"/>
          <w:sz w:val="21"/>
        </w:rPr>
        <w:t>Philanthropic investment and sponsorship for program capacity, paid participant work, and applied research tracks</w:t>
      </w:r>
    </w:p>
    <w:p w14:paraId="38674C1D" w14:textId="77777777" w:rsidR="00176F05" w:rsidRDefault="0097394D">
      <w:pPr>
        <w:keepLines/>
        <w:numPr>
          <w:ilvl w:val="0"/>
          <w:numId w:val="1"/>
        </w:numPr>
      </w:pPr>
      <w:r>
        <w:rPr>
          <w:rFonts w:eastAsia="Calibri"/>
          <w:sz w:val="21"/>
        </w:rPr>
        <w:t>Employer projects, mentors, internships, work experience, placement connections, and industry expertise</w:t>
      </w:r>
    </w:p>
    <w:p w14:paraId="6DDFD796" w14:textId="77777777" w:rsidR="00176F05" w:rsidRDefault="0097394D">
      <w:pPr>
        <w:keepLines/>
        <w:numPr>
          <w:ilvl w:val="0"/>
          <w:numId w:val="1"/>
        </w:numPr>
      </w:pPr>
      <w:r>
        <w:rPr>
          <w:rFonts w:eastAsia="Calibri"/>
          <w:sz w:val="21"/>
        </w:rPr>
        <w:t>Support for entrepreneurship, product development, and small-business learning opportunities</w:t>
      </w:r>
    </w:p>
    <w:p w14:paraId="3F5E9AA4" w14:textId="77777777" w:rsidR="00176F05" w:rsidRDefault="0097394D">
      <w:pPr>
        <w:keepLines/>
        <w:numPr>
          <w:ilvl w:val="0"/>
          <w:numId w:val="1"/>
        </w:numPr>
      </w:pPr>
      <w:r>
        <w:rPr>
          <w:rFonts w:eastAsia="Calibri"/>
          <w:sz w:val="21"/>
        </w:rPr>
        <w:t>Evaluation expertise, data infrastructure, and long-term outcome tracking</w:t>
      </w:r>
    </w:p>
    <w:p w14:paraId="2B5F56E0" w14:textId="77777777" w:rsidR="00176F05" w:rsidRDefault="0097394D">
      <w:pPr>
        <w:pStyle w:val="Heading2"/>
      </w:pPr>
      <w:r>
        <w:t>Conclusion</w:t>
      </w:r>
    </w:p>
    <w:p w14:paraId="0394AC4A" w14:textId="77777777" w:rsidR="00176F05" w:rsidRDefault="0097394D">
      <w:pPr>
        <w:spacing w:after="80" w:line="276" w:lineRule="auto"/>
      </w:pPr>
      <w:r>
        <w:rPr>
          <w:rFonts w:eastAsia="Calibri"/>
          <w:sz w:val="20"/>
        </w:rPr>
        <w:t>Bright Minds has accumulated a meaningful record: ten years of implementation, participant research connected to community conditions, products and presentations reaching professional audiences, 123+ alumni with documented outcomes, attendance at 30+ colleges and universities, and trajectories across major industries and public service.</w:t>
      </w:r>
    </w:p>
    <w:p w14:paraId="79A24F59" w14:textId="77777777" w:rsidR="00176F05" w:rsidRDefault="0097394D">
      <w:pPr>
        <w:spacing w:after="80" w:line="276" w:lineRule="auto"/>
      </w:pPr>
      <w:r>
        <w:rPr>
          <w:rFonts w:eastAsia="Calibri"/>
          <w:sz w:val="20"/>
        </w:rPr>
        <w:t>The planned Institute would use that record as a foundation for deeper education, workforce, financial capability, and enterprise pathways. Strategic investment can help build the operating capacity, employer connections, paid work, and measurement systems required for responsible growth.</w:t>
      </w:r>
    </w:p>
    <w:p w14:paraId="62CAF993" w14:textId="77777777" w:rsidR="00176F05" w:rsidRDefault="0097394D">
      <w:pPr>
        <w:keepLines/>
        <w:pBdr>
          <w:left w:val="single" w:sz="18" w:space="8" w:color="2E74B5"/>
        </w:pBdr>
        <w:shd w:val="clear" w:color="auto" w:fill="EAF1F6"/>
        <w:spacing w:before="100" w:after="100" w:line="276" w:lineRule="auto"/>
        <w:ind w:left="202" w:right="115"/>
      </w:pPr>
      <w:r>
        <w:rPr>
          <w:rFonts w:eastAsia="Calibri"/>
          <w:b/>
          <w:color w:val="2E74B5"/>
          <w:sz w:val="19"/>
        </w:rPr>
        <w:t xml:space="preserve">GUIDING PRINCIPLE  </w:t>
      </w:r>
      <w:r>
        <w:rPr>
          <w:rFonts w:eastAsia="Calibri"/>
          <w:sz w:val="21"/>
        </w:rPr>
        <w:t>Young people grow when the work is real.</w:t>
      </w:r>
    </w:p>
    <w:p w14:paraId="1FD55A24" w14:textId="77777777" w:rsidR="00176F05" w:rsidRDefault="0097394D">
      <w:pPr>
        <w:pBdr>
          <w:top w:val="single" w:sz="8" w:space="8" w:color="C69214"/>
        </w:pBdr>
        <w:spacing w:before="120" w:after="80"/>
        <w:jc w:val="center"/>
      </w:pPr>
      <w:r>
        <w:rPr>
          <w:rFonts w:eastAsia="Calibri"/>
          <w:b/>
          <w:color w:val="C69214"/>
          <w:sz w:val="18"/>
        </w:rPr>
        <w:t>FOR MORE INFORMATION</w:t>
      </w:r>
    </w:p>
    <w:p w14:paraId="56EFD378" w14:textId="77777777" w:rsidR="00176F05" w:rsidRDefault="0097394D">
      <w:pPr>
        <w:spacing w:after="40"/>
        <w:jc w:val="center"/>
      </w:pPr>
      <w:r>
        <w:rPr>
          <w:rFonts w:eastAsia="Calibri"/>
          <w:b/>
          <w:color w:val="17365D"/>
          <w:sz w:val="20"/>
        </w:rPr>
        <w:t>William E. Mills, III  |  Chief Prosperity Officer, My True Prosperity</w:t>
      </w:r>
    </w:p>
    <w:p w14:paraId="49908BDE" w14:textId="77777777" w:rsidR="00176F05" w:rsidRDefault="0097394D">
      <w:pPr>
        <w:spacing w:after="40"/>
        <w:jc w:val="center"/>
      </w:pPr>
      <w:r>
        <w:rPr>
          <w:rFonts w:eastAsia="Calibri"/>
          <w:sz w:val="19"/>
        </w:rPr>
        <w:t>Bill@MyTrueProsperity.com  |  321-209-4377</w:t>
      </w:r>
    </w:p>
    <w:p w14:paraId="4952A55B" w14:textId="77777777" w:rsidR="00176F05" w:rsidRDefault="0097394D">
      <w:pPr>
        <w:jc w:val="center"/>
      </w:pPr>
      <w:r>
        <w:rPr>
          <w:rFonts w:eastAsia="Calibri"/>
          <w:color w:val="617180"/>
          <w:sz w:val="19"/>
        </w:rPr>
        <w:t>5153 Hercules Ct., Sanford, FL 32773</w:t>
      </w:r>
    </w:p>
    <w:sectPr w:rsidR="00176F05"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C3D6A" w14:textId="77777777" w:rsidR="0097394D" w:rsidRDefault="0097394D">
      <w:pPr>
        <w:spacing w:after="0" w:line="240" w:lineRule="auto"/>
      </w:pPr>
      <w:r>
        <w:separator/>
      </w:r>
    </w:p>
  </w:endnote>
  <w:endnote w:type="continuationSeparator" w:id="0">
    <w:p w14:paraId="7F7CC7DF" w14:textId="77777777" w:rsidR="0097394D" w:rsidRDefault="00973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220A" w14:textId="77777777" w:rsidR="00176F05" w:rsidRDefault="0097394D">
    <w:pPr>
      <w:pStyle w:val="Footer"/>
      <w:pBdr>
        <w:top w:val="single" w:sz="5" w:space="5" w:color="CBD5DF"/>
      </w:pBdr>
      <w:spacing w:before="40"/>
    </w:pPr>
    <w:r>
      <w:rPr>
        <w:rFonts w:eastAsia="Calibri"/>
        <w:color w:val="617180"/>
        <w:sz w:val="16"/>
      </w:rPr>
      <w:t>My True Prosperity</w:t>
    </w:r>
    <w:r>
      <w:rPr>
        <w:rFonts w:eastAsia="Calibri"/>
        <w:color w:val="617180"/>
        <w:sz w:val="16"/>
      </w:rPr>
      <w:tab/>
      <w:t>2016 to 2026</w:t>
    </w:r>
    <w:r>
      <w:rPr>
        <w:rFonts w:eastAsia="Calibri"/>
        <w:color w:val="617180"/>
        <w:sz w:val="16"/>
      </w:rPr>
      <w:tab/>
    </w:r>
    <w:r>
      <w:rPr>
        <w:rFonts w:eastAsia="Calibri"/>
        <w:color w:val="617180"/>
        <w:sz w:val="16"/>
      </w:rPr>
      <w:fldChar w:fldCharType="begin"/>
    </w:r>
    <w:r>
      <w:rPr>
        <w:rFonts w:eastAsia="Calibri"/>
        <w:color w:val="617180"/>
        <w:sz w:val="16"/>
      </w:rPr>
      <w:instrText xml:space="preserve"> PAGE </w:instrText>
    </w:r>
    <w:r w:rsidR="00653F9A">
      <w:rPr>
        <w:rFonts w:eastAsia="Calibri"/>
        <w:color w:val="617180"/>
        <w:sz w:val="16"/>
      </w:rPr>
      <w:fldChar w:fldCharType="separate"/>
    </w:r>
    <w:r w:rsidR="00653F9A">
      <w:rPr>
        <w:rFonts w:eastAsia="Calibri"/>
        <w:noProof/>
        <w:color w:val="617180"/>
        <w:sz w:val="16"/>
      </w:rPr>
      <w:t>0</w:t>
    </w:r>
    <w:r>
      <w:rPr>
        <w:rFonts w:eastAsia="Calibri"/>
        <w:color w:val="61718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F7B6" w14:textId="77777777" w:rsidR="00176F05" w:rsidRDefault="0097394D">
    <w:pPr>
      <w:pStyle w:val="Footer"/>
      <w:pBdr>
        <w:top w:val="single" w:sz="5" w:space="5" w:color="CBD5DF"/>
      </w:pBdr>
      <w:spacing w:before="40"/>
    </w:pPr>
    <w:r>
      <w:rPr>
        <w:rFonts w:eastAsia="Calibri"/>
        <w:color w:val="617180"/>
        <w:sz w:val="16"/>
      </w:rPr>
      <w:t>My True Prosperity</w:t>
    </w:r>
    <w:r>
      <w:rPr>
        <w:rFonts w:eastAsia="Calibri"/>
        <w:color w:val="617180"/>
        <w:sz w:val="16"/>
      </w:rPr>
      <w:tab/>
      <w:t>2016 to 2026</w:t>
    </w:r>
    <w:r>
      <w:rPr>
        <w:rFonts w:eastAsia="Calibri"/>
        <w:color w:val="617180"/>
        <w:sz w:val="16"/>
      </w:rPr>
      <w:tab/>
    </w:r>
    <w:r>
      <w:rPr>
        <w:rFonts w:eastAsia="Calibri"/>
        <w:color w:val="617180"/>
        <w:sz w:val="16"/>
      </w:rPr>
      <w:fldChar w:fldCharType="begin"/>
    </w:r>
    <w:r>
      <w:rPr>
        <w:rFonts w:eastAsia="Calibri"/>
        <w:color w:val="617180"/>
        <w:sz w:val="16"/>
      </w:rPr>
      <w:instrText xml:space="preserve"> PAGE </w:instrText>
    </w:r>
    <w:r w:rsidR="00653F9A">
      <w:rPr>
        <w:rFonts w:eastAsia="Calibri"/>
        <w:color w:val="617180"/>
        <w:sz w:val="16"/>
      </w:rPr>
      <w:fldChar w:fldCharType="separate"/>
    </w:r>
    <w:r w:rsidR="00653F9A">
      <w:rPr>
        <w:rFonts w:eastAsia="Calibri"/>
        <w:noProof/>
        <w:color w:val="617180"/>
        <w:sz w:val="16"/>
      </w:rPr>
      <w:t>0</w:t>
    </w:r>
    <w:r>
      <w:rPr>
        <w:rFonts w:eastAsia="Calibri"/>
        <w:color w:val="6171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10CE" w14:textId="77777777" w:rsidR="00176F05" w:rsidRDefault="0097394D">
    <w:pPr>
      <w:pStyle w:val="Footer"/>
      <w:jc w:val="center"/>
    </w:pPr>
    <w:r>
      <w:rPr>
        <w:rFonts w:eastAsia="Calibri"/>
        <w:b/>
        <w:color w:val="617180"/>
        <w:sz w:val="17"/>
      </w:rPr>
      <w:t>MY TRUE PROSPERITY  |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B1B31" w14:textId="77777777" w:rsidR="0097394D" w:rsidRDefault="0097394D">
      <w:pPr>
        <w:spacing w:after="0" w:line="240" w:lineRule="auto"/>
      </w:pPr>
      <w:r>
        <w:separator/>
      </w:r>
    </w:p>
  </w:footnote>
  <w:footnote w:type="continuationSeparator" w:id="0">
    <w:p w14:paraId="3253C3B4" w14:textId="77777777" w:rsidR="0097394D" w:rsidRDefault="00973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7B2B" w14:textId="77777777" w:rsidR="00176F05" w:rsidRDefault="0097394D">
    <w:pPr>
      <w:pStyle w:val="Header"/>
      <w:pBdr>
        <w:bottom w:val="single" w:sz="6" w:space="5" w:color="2E74B5"/>
      </w:pBdr>
      <w:spacing w:after="40"/>
    </w:pPr>
    <w:r>
      <w:rPr>
        <w:rFonts w:eastAsia="Calibri"/>
        <w:b/>
        <w:color w:val="17365D"/>
        <w:sz w:val="17"/>
      </w:rPr>
      <w:t>BRIGHT MINDS</w:t>
    </w:r>
    <w:r>
      <w:rPr>
        <w:rFonts w:eastAsia="Calibri"/>
        <w:b/>
        <w:color w:val="617180"/>
        <w:sz w:val="17"/>
      </w:rPr>
      <w:tab/>
      <w:t>IMPACT REPORT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1CAE" w14:textId="77777777" w:rsidR="00176F05" w:rsidRDefault="0097394D">
    <w:pPr>
      <w:pStyle w:val="Header"/>
      <w:pBdr>
        <w:bottom w:val="single" w:sz="6" w:space="5" w:color="2E74B5"/>
      </w:pBdr>
      <w:spacing w:after="40"/>
    </w:pPr>
    <w:r>
      <w:rPr>
        <w:rFonts w:eastAsia="Calibri"/>
        <w:b/>
        <w:color w:val="17365D"/>
        <w:sz w:val="17"/>
      </w:rPr>
      <w:t>BRIGHT MINDS</w:t>
    </w:r>
    <w:r>
      <w:rPr>
        <w:rFonts w:eastAsia="Calibri"/>
        <w:b/>
        <w:color w:val="617180"/>
        <w:sz w:val="17"/>
      </w:rPr>
      <w:tab/>
      <w:t>IMPACT REPORT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F7E3" w14:textId="77777777" w:rsidR="00176F05" w:rsidRDefault="0017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D85A06"/>
    <w:multiLevelType w:val="singleLevel"/>
    <w:tmpl w:val="A69AE39A"/>
    <w:lvl w:ilvl="0">
      <w:start w:val="1"/>
      <w:numFmt w:val="bullet"/>
      <w:pStyle w:val="ListBullet"/>
      <w:lvlText w:val="•"/>
      <w:lvlJc w:val="left"/>
      <w:pPr>
        <w:tabs>
          <w:tab w:val="num" w:pos="540"/>
        </w:tabs>
        <w:spacing w:after="80" w:line="290" w:lineRule="auto"/>
        <w:ind w:left="540" w:hanging="279"/>
      </w:pPr>
      <w:rPr>
        <w:rFonts w:ascii="Calibri" w:hAnsi="Calibri"/>
      </w:rPr>
    </w:lvl>
  </w:abstractNum>
  <w:num w:numId="1" w16cid:durableId="5171633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F05"/>
    <w:rsid w:val="0029639D"/>
    <w:rsid w:val="00326F90"/>
    <w:rsid w:val="00653F9A"/>
    <w:rsid w:val="00910780"/>
    <w:rsid w:val="0097394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FB5B9"/>
  <w14:defaultImageDpi w14:val="300"/>
  <w15:docId w15:val="{37BC8EA3-D1CE-4577-9805-DFE4F85D2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27313A"/>
    </w:rPr>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line="240"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itationText">
    <w:name w:val="Table Citation Text"/>
    <w:pPr>
      <w:spacing w:before="80" w:after="80" w:line="240" w:lineRule="auto"/>
    </w:pPr>
    <w:rPr>
      <w:rFonts w:ascii="Calibri" w:hAnsi="Calibri"/>
      <w:color w:val="61718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4393</Words>
  <Characters>25043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Bright Minds: 2026 Impact Report</dc:title>
  <dc:subject>The documented foundation for the planned Institute of Bright Minds</dc:subject>
  <dc:creator>My True Prosperity</dc:creator>
  <cp:keywords>Bright Minds, youth workforce development, financial capability, economic mobility, impact report</cp:keywords>
  <dc:description>Prepared August 2026</dc:description>
  <cp:lastModifiedBy>Bill Mills</cp:lastModifiedBy>
  <cp:revision>2</cp:revision>
  <dcterms:created xsi:type="dcterms:W3CDTF">2013-12-23T23:15:00Z</dcterms:created>
  <dcterms:modified xsi:type="dcterms:W3CDTF">2026-08-26T16:09:00Z</dcterms:modified>
  <cp:category/>
</cp:coreProperties>
</file>